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48537">
      <w:pPr>
        <w:pStyle w:val="14"/>
        <w:jc w:val="center"/>
        <w:rPr>
          <w:rFonts w:hint="eastAsia" w:eastAsia="黑体"/>
          <w:sz w:val="56"/>
          <w:szCs w:val="56"/>
          <w:lang w:eastAsia="zh-CN"/>
        </w:rPr>
      </w:pPr>
    </w:p>
    <w:p w14:paraId="5C0FBEE4">
      <w:pPr>
        <w:pStyle w:val="14"/>
        <w:jc w:val="center"/>
        <w:rPr>
          <w:sz w:val="56"/>
          <w:szCs w:val="56"/>
        </w:rPr>
      </w:pPr>
    </w:p>
    <w:p w14:paraId="6C9B7525">
      <w:pPr>
        <w:pStyle w:val="14"/>
        <w:jc w:val="center"/>
        <w:rPr>
          <w:sz w:val="84"/>
          <w:szCs w:val="84"/>
        </w:rPr>
      </w:pPr>
    </w:p>
    <w:p w14:paraId="608283BC">
      <w:pPr>
        <w:pStyle w:val="14"/>
        <w:jc w:val="center"/>
        <w:rPr>
          <w:sz w:val="84"/>
          <w:szCs w:val="84"/>
        </w:rPr>
      </w:pPr>
    </w:p>
    <w:p w14:paraId="11AD70FB">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49FE8357">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z w:val="84"/>
          <w:szCs w:val="84"/>
          <w:lang w:eastAsia="zh-CN"/>
        </w:rPr>
        <w:t>岳</w:t>
      </w:r>
      <w:r>
        <w:rPr>
          <w:rFonts w:hint="eastAsia" w:ascii="方正小标宋_GBK" w:hAnsi="方正小标宋_GBK" w:eastAsia="方正小标宋_GBK" w:cs="方正小标宋_GBK"/>
          <w:sz w:val="84"/>
          <w:szCs w:val="84"/>
          <w:lang w:val="en-US" w:eastAsia="zh-CN"/>
        </w:rPr>
        <w:t>阳市卫生健康委员会</w:t>
      </w:r>
    </w:p>
    <w:p w14:paraId="257F9B9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75E304EE">
      <w:pPr>
        <w:pStyle w:val="14"/>
        <w:jc w:val="center"/>
        <w:rPr>
          <w:rFonts w:hint="eastAsia" w:ascii="方正小标宋_GBK" w:hAnsi="方正小标宋_GBK" w:eastAsia="方正小标宋_GBK" w:cs="方正小标宋_GBK"/>
          <w:sz w:val="56"/>
          <w:szCs w:val="56"/>
        </w:rPr>
      </w:pPr>
    </w:p>
    <w:p w14:paraId="131A6EF1">
      <w:pPr>
        <w:pStyle w:val="14"/>
        <w:jc w:val="center"/>
        <w:rPr>
          <w:sz w:val="56"/>
          <w:szCs w:val="56"/>
        </w:rPr>
      </w:pPr>
    </w:p>
    <w:p w14:paraId="000A78C3">
      <w:pPr>
        <w:pStyle w:val="14"/>
        <w:jc w:val="center"/>
        <w:rPr>
          <w:sz w:val="56"/>
          <w:szCs w:val="56"/>
        </w:rPr>
      </w:pPr>
    </w:p>
    <w:p w14:paraId="4451483B">
      <w:pPr>
        <w:pStyle w:val="14"/>
        <w:jc w:val="center"/>
        <w:rPr>
          <w:sz w:val="56"/>
          <w:szCs w:val="56"/>
        </w:rPr>
      </w:pPr>
    </w:p>
    <w:p w14:paraId="2D6F2FE9">
      <w:pPr>
        <w:pStyle w:val="14"/>
        <w:jc w:val="center"/>
        <w:rPr>
          <w:sz w:val="32"/>
          <w:szCs w:val="32"/>
        </w:rPr>
      </w:pPr>
    </w:p>
    <w:p w14:paraId="389DE0B8">
      <w:pPr>
        <w:pStyle w:val="14"/>
        <w:jc w:val="center"/>
        <w:rPr>
          <w:sz w:val="32"/>
          <w:szCs w:val="32"/>
        </w:rPr>
      </w:pPr>
    </w:p>
    <w:p w14:paraId="1AA70F0D">
      <w:pPr>
        <w:pStyle w:val="14"/>
        <w:jc w:val="center"/>
        <w:rPr>
          <w:sz w:val="32"/>
          <w:szCs w:val="32"/>
        </w:rPr>
      </w:pPr>
    </w:p>
    <w:p w14:paraId="6A7C30A3">
      <w:pPr>
        <w:pStyle w:val="14"/>
        <w:jc w:val="center"/>
        <w:rPr>
          <w:sz w:val="32"/>
          <w:szCs w:val="32"/>
        </w:rPr>
      </w:pPr>
    </w:p>
    <w:p w14:paraId="408A2F04">
      <w:pPr>
        <w:pStyle w:val="14"/>
        <w:jc w:val="center"/>
        <w:rPr>
          <w:sz w:val="32"/>
          <w:szCs w:val="32"/>
        </w:rPr>
      </w:pPr>
    </w:p>
    <w:p w14:paraId="0FD0F18C">
      <w:pPr>
        <w:pStyle w:val="14"/>
        <w:spacing w:line="540" w:lineRule="exact"/>
        <w:jc w:val="center"/>
        <w:rPr>
          <w:sz w:val="56"/>
          <w:szCs w:val="56"/>
        </w:rPr>
      </w:pPr>
    </w:p>
    <w:p w14:paraId="4FC6D294">
      <w:pPr>
        <w:pStyle w:val="14"/>
        <w:spacing w:line="500" w:lineRule="exact"/>
        <w:jc w:val="both"/>
        <w:rPr>
          <w:b/>
          <w:sz w:val="36"/>
          <w:szCs w:val="28"/>
        </w:rPr>
      </w:pPr>
    </w:p>
    <w:p w14:paraId="0D2571AF">
      <w:pPr>
        <w:pStyle w:val="14"/>
        <w:spacing w:line="500" w:lineRule="exact"/>
        <w:jc w:val="center"/>
        <w:rPr>
          <w:b/>
          <w:sz w:val="36"/>
          <w:szCs w:val="28"/>
        </w:rPr>
      </w:pPr>
      <w:r>
        <w:rPr>
          <w:rFonts w:hint="eastAsia"/>
          <w:b/>
          <w:sz w:val="36"/>
          <w:szCs w:val="28"/>
        </w:rPr>
        <w:t>目录</w:t>
      </w:r>
    </w:p>
    <w:p w14:paraId="7AA5B13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岳阳市卫生健康委员会</w:t>
      </w:r>
      <w:r>
        <w:rPr>
          <w:rFonts w:hint="eastAsia" w:ascii="黑体" w:hAnsi="黑体" w:eastAsia="黑体" w:cs="黑体"/>
          <w:b w:val="0"/>
          <w:bCs/>
          <w:sz w:val="28"/>
          <w:szCs w:val="28"/>
        </w:rPr>
        <w:t>概况</w:t>
      </w:r>
    </w:p>
    <w:p w14:paraId="21973497">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05DD6A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1452CDD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087307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4B49B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1C2F1C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1C47E7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235B47D">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297E10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7C70E2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6B02CFFD">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34579C6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49A0D71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D39716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E281DA3">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BDE9FB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55E78E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E0D2F4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4EC5BA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43D0B6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ADB2B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587E51C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2E8C983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6610282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91DF37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615D8C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B72D9E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F5B12D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1EC01592">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B3199B0">
      <w:pPr>
        <w:pStyle w:val="14"/>
        <w:jc w:val="center"/>
        <w:rPr>
          <w:rFonts w:hint="eastAsia" w:ascii="方正小标宋_GBK" w:hAnsi="方正小标宋_GBK" w:eastAsia="方正小标宋_GBK" w:cs="方正小标宋_GBK"/>
          <w:sz w:val="84"/>
          <w:szCs w:val="84"/>
        </w:rPr>
      </w:pPr>
    </w:p>
    <w:p w14:paraId="1B51D4AC">
      <w:pPr>
        <w:pStyle w:val="14"/>
        <w:jc w:val="center"/>
        <w:rPr>
          <w:rFonts w:hint="eastAsia" w:ascii="方正小标宋_GBK" w:hAnsi="方正小标宋_GBK" w:eastAsia="方正小标宋_GBK" w:cs="方正小标宋_GBK"/>
          <w:sz w:val="84"/>
          <w:szCs w:val="84"/>
        </w:rPr>
      </w:pPr>
    </w:p>
    <w:p w14:paraId="4F9FCA3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47A1C9B">
      <w:pPr>
        <w:pStyle w:val="14"/>
        <w:jc w:val="center"/>
        <w:rPr>
          <w:rFonts w:hint="eastAsia" w:ascii="方正小标宋_GBK" w:hAnsi="方正小标宋_GBK" w:eastAsia="方正小标宋_GBK" w:cs="方正小标宋_GBK"/>
          <w:sz w:val="84"/>
          <w:szCs w:val="84"/>
        </w:rPr>
      </w:pPr>
    </w:p>
    <w:p w14:paraId="2667E35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岳阳市卫生健康委员会</w:t>
      </w:r>
      <w:r>
        <w:rPr>
          <w:rFonts w:hint="eastAsia" w:ascii="方正小标宋_GBK" w:hAnsi="方正小标宋_GBK" w:eastAsia="方正小标宋_GBK" w:cs="方正小标宋_GBK"/>
          <w:sz w:val="84"/>
          <w:szCs w:val="84"/>
        </w:rPr>
        <w:t>概况</w:t>
      </w:r>
    </w:p>
    <w:p w14:paraId="302529EC">
      <w:pPr>
        <w:pStyle w:val="7"/>
        <w:rPr>
          <w:rFonts w:hint="eastAsia" w:ascii="方正小标宋_GBK" w:hAnsi="方正小标宋_GBK" w:eastAsia="方正小标宋_GBK" w:cs="方正小标宋_GBK"/>
          <w:sz w:val="84"/>
          <w:szCs w:val="84"/>
        </w:rPr>
      </w:pPr>
    </w:p>
    <w:p w14:paraId="72521B02">
      <w:pPr>
        <w:pStyle w:val="8"/>
        <w:rPr>
          <w:rFonts w:hint="eastAsia" w:ascii="方正小标宋_GBK" w:hAnsi="方正小标宋_GBK" w:eastAsia="方正小标宋_GBK" w:cs="方正小标宋_GBK"/>
          <w:sz w:val="84"/>
          <w:szCs w:val="84"/>
        </w:rPr>
      </w:pPr>
    </w:p>
    <w:p w14:paraId="5D6D3E60">
      <w:pPr>
        <w:rPr>
          <w:rFonts w:hint="eastAsia" w:ascii="方正小标宋_GBK" w:hAnsi="方正小标宋_GBK" w:eastAsia="方正小标宋_GBK" w:cs="方正小标宋_GBK"/>
          <w:sz w:val="84"/>
          <w:szCs w:val="84"/>
        </w:rPr>
      </w:pPr>
    </w:p>
    <w:p w14:paraId="0EF70A6D">
      <w:pPr>
        <w:pStyle w:val="15"/>
        <w:numPr>
          <w:ilvl w:val="0"/>
          <w:numId w:val="0"/>
        </w:numPr>
        <w:ind w:leftChars="0"/>
        <w:jc w:val="left"/>
        <w:rPr>
          <w:rFonts w:hint="eastAsia" w:ascii="黑体" w:hAnsi="黑体" w:eastAsia="黑体" w:cs="黑体"/>
          <w:b w:val="0"/>
          <w:bCs w:val="0"/>
          <w:sz w:val="32"/>
          <w:szCs w:val="32"/>
        </w:rPr>
      </w:pPr>
    </w:p>
    <w:p w14:paraId="1DCAA2F3">
      <w:pPr>
        <w:pStyle w:val="15"/>
        <w:keepNext w:val="0"/>
        <w:keepLines w:val="0"/>
        <w:pageBreakBefore w:val="0"/>
        <w:numPr>
          <w:ilvl w:val="0"/>
          <w:numId w:val="0"/>
        </w:numPr>
        <w:kinsoku/>
        <w:wordWrap/>
        <w:overflowPunct/>
        <w:topLinePunct w:val="0"/>
        <w:autoSpaceDE/>
        <w:autoSpaceDN/>
        <w:bidi w:val="0"/>
        <w:adjustRightInd/>
        <w:snapToGrid/>
        <w:ind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部门职责</w:t>
      </w:r>
    </w:p>
    <w:p w14:paraId="79DBBC6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贯彻执行国民健康政策及国家和省关于卫生健康工作的方针政策和法律法规，拟订并组织实施全市卫生健康政策、规划，组织实施国家、省卫生健康地方标准和技术规范。统筹规划全市卫生健康服务资源配置，指导区域卫生健康规划的编制和实施。制定并组织实施推进卫生健康基本公共服务均等化、普惠化、便捷化和公共资源向基层延伸等政策措施。</w:t>
      </w:r>
    </w:p>
    <w:p w14:paraId="579E46B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协调推进全市深化医药卫生体制改革，研究提出全市深化医药卫生体制改革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7F0DAD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三）制定并组织落实全市疾病预防控制规划、免疫规划以及严重危害人民健康公共卫生问题的干预措施。负责卫生应急工作，组织指导全市突发公共卫生事件预防控制和各类突发公共事件的医疗卫生救援。承担传染病疫情信息上报工作，发布突发公共卫生事件应急处置信息。</w:t>
      </w:r>
    </w:p>
    <w:p w14:paraId="3D93D0B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（四）组织拟订并协调落实应对人口老龄化政策措施，推进老年健康服务体系建设和医养结合工作。</w:t>
      </w:r>
    </w:p>
    <w:p w14:paraId="34BC21C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（五）贯彻执行国家药物政策和国家基本药物制度，开展药品使用监测、临床综合评价和短缺药品预警。组织开展食品安全风险监测，负责食源性疾病及与食品安全事故有关的流行病学调查。</w:t>
      </w:r>
    </w:p>
    <w:p w14:paraId="3E91A55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（六）负责职责范围内的职业卫生、放射卫生、环境卫生、学校卫生、公共场所卫生、饮用水卫生等公共卫生的监督管理。负责传染病防治监督，健全卫生健康综合监督体系。</w:t>
      </w:r>
    </w:p>
    <w:p w14:paraId="1B1F165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七）制定全市医疗机构、医疗服务行业管理办法并监督实施，建立医疗服务评价和监督管理体系。会同有关部门实施卫生健康专业技术人员资格标准。制定并组织实施医疗服务规范、标准和卫生健康专业技术人员执业规则、服务规范。</w:t>
      </w:r>
    </w:p>
    <w:p w14:paraId="4BA34A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（八）负责计划生育管理和服务工作，开展人口监测预警，研究提出人口与家庭发展相关政策建议，提出完善计划生育政策建议。</w:t>
      </w:r>
    </w:p>
    <w:p w14:paraId="665EB7D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（九）指导全市卫生健康工作，指导基层医疗卫生、妇幼健康服务体系建设，加强全科医生队伍建设。推进卫生健康科技创新发展。</w:t>
      </w:r>
    </w:p>
    <w:p w14:paraId="6542C95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（十）负责全市健康教育、健康促进和卫生健康信息化建设等工作。组织实施国际、港澳台的交流合作与援外工作。</w:t>
      </w:r>
    </w:p>
    <w:p w14:paraId="720A418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（十一）负责市保健对象的医疗保健工作，负责重要来宾、重要会议与重大活动的医疗卫生保障工作,指导全市保健工作。</w:t>
      </w:r>
    </w:p>
    <w:p w14:paraId="499E81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（十二）指导市计划生育协会的业务工作。</w:t>
      </w:r>
    </w:p>
    <w:p w14:paraId="44E21B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（十三）完成市委、市政府交办的其他事项。</w:t>
      </w:r>
    </w:p>
    <w:p w14:paraId="4E06CF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四）职能转变。市卫健委应当牢固树立大卫生、大健康理念，推动实施健康岳阳战略，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地区和生活困难群众倾斜。三是更加注重提高服务质量和水平，推进卫生健康基本公共服务均等化、普惠化、便捷化。四是协调推进深化医药卫生体制改革，加大公立医院改革力度，推进管办分离，推动卫生健康公共服务提供主体多元化、提供方式多样化。</w:t>
      </w:r>
    </w:p>
    <w:p w14:paraId="322935D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（十五）有关职责分工</w:t>
      </w:r>
    </w:p>
    <w:p w14:paraId="05B257E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与市发改委的有关职责分工。市卫健委负责开展人口监测预警工作，研究提出与生育相关的人口数量、素质、结构、分布方面的政策建议，促进生育政策和相关经济社会政策配套衔接，参与制定全市人口发展规划和政策，落实国家、省和全市人口发展规划中的有关任务。市发改委负责组织监测和评估人口变动情况及趋势影响，建立人口预测预报制度，开展重大决策人口影响评估，完善重大人口政策咨询机制，研究提出全市人口发展战略，拟订人口发展规划和人口政策，研究提出人口与经济、社会、资源、环境协调可持续发展，以及统筹促进人口长期均衡发展的政策建议。</w:t>
      </w:r>
    </w:p>
    <w:p w14:paraId="7830123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与市民政局的有关职责分工。市卫健委负责拟订应对人口老龄化、医养结合政策措施，综合协调、督促指导、组织推进老龄事业发展，承担老年疾病防治、老年人医疗照护、老年人心理健康与关怀服务等老年健康工作。市民政局负责统筹推进、督促指导、监督管理养老服务工作，起草养老服务地方性法规草案、拟订养老服务体系建设规划、政策、标准并组织实施，承担老年人福利和特殊困难老年人救助工作。</w:t>
      </w:r>
    </w:p>
    <w:p w14:paraId="6C377761">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3．与岳阳海关的有关职责分工。市卫健委负责传染病总体防治和突发公共卫生事件应急工作。市卫健委与岳阳海关建立健全应对口岸传染病疫情和公共卫生事件合作机制、传染病疫情和公共卫生事件通报交流机制、口岸输入性疫情通报和协作处理机制。</w:t>
      </w:r>
    </w:p>
    <w:p w14:paraId="141D8D2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4．与市市场监管局的有关职责分工。市卫健委负责食品安全风险监测工作，会同市市场监管局等部门制定、实施食品安全风险监测计划。市卫健委对通过食品安全风险监测或者接到举报发现食品可能存在安全隐患的，应当及时将相关信息通报市市场监管局等部门，市市场监管局等部门应当立即采取措施。市市场监管局等部门在监督管理工作中发现需要进行食品安全风险评估的，应当及时向市卫健委提出建议。市市场监管局会同市卫健委建立重大药品不良反应和医疗器械不良事件相互通报机制和联合处置机制。</w:t>
      </w:r>
    </w:p>
    <w:p w14:paraId="07D945C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5．与市医保局的有关职责分工。市卫健委、市医保局等部门在医疗、医保、医药等方面加强制度、政策衔接，建立沟通协商机制，协同推进改革，提高医疗资源使用效率和医疗保障水平。</w:t>
      </w:r>
    </w:p>
    <w:p w14:paraId="463B1E3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4FEE7FC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298CA95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岳阳市卫生健康委员会</w:t>
      </w:r>
      <w:r>
        <w:rPr>
          <w:rFonts w:hint="eastAsia" w:ascii="Times New Roman" w:hAnsi="Times New Roman" w:eastAsia="仿宋_GB2312" w:cs="仿宋_GB2312"/>
          <w:bCs/>
          <w:kern w:val="0"/>
          <w:sz w:val="32"/>
          <w:szCs w:val="32"/>
        </w:rPr>
        <w:t>内设机构包括：</w:t>
      </w:r>
    </w:p>
    <w:p w14:paraId="181124F3">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办公室。2、规划发展与信息化科；3、疾病预防控制与职业健康科（市血吸虫病防治办公室、市防治艾滋病工作委员会办公室）。4、医政医管科。5、基层卫生健康科。6、卫生应急办公室（突发公共卫生事件应急指挥中心）。7、科技教育科。8、法规与综合监督科（行政审批科、食品安全标准与监测科）。9、药物政策与基本药物制度科。10、中医药管理科（中医药管理局）。11、老龄健康科（市老龄工作委员会办公室）。12、妇幼健康科。13、人口监测与家庭发展科。14、 爱国卫生工作科（市爱国卫生运动委员会办公室）。15、宣传科。16、财务科（审计科）。17、人事科。18、机关党委（纪委）。19、离退休人员管理服务科（干部保健科）。</w:t>
      </w:r>
    </w:p>
    <w:p w14:paraId="63B77AC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0DBAB1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lang w:eastAsia="zh-CN"/>
        </w:rPr>
        <w:t>岳阳市卫生健康委员会</w:t>
      </w:r>
      <w:r>
        <w:rPr>
          <w:rFonts w:hint="eastAsia" w:ascii="Times New Roman" w:hAnsi="Times New Roman" w:eastAsia="仿宋_GB2312" w:cs="仿宋_GB2312"/>
          <w:bCs/>
          <w:kern w:val="0"/>
          <w:sz w:val="32"/>
          <w:szCs w:val="32"/>
        </w:rPr>
        <w:t>20</w:t>
      </w:r>
      <w:r>
        <w:rPr>
          <w:rFonts w:hint="eastAsia" w:ascii="Times New Roman" w:hAnsi="Times New Roman" w:eastAsia="仿宋_GB2312" w:cs="仿宋_GB2312"/>
          <w:bCs/>
          <w:kern w:val="0"/>
          <w:sz w:val="32"/>
          <w:szCs w:val="32"/>
          <w:lang w:val="en-US" w:eastAsia="zh-CN"/>
        </w:rPr>
        <w:t>22</w:t>
      </w:r>
      <w:r>
        <w:rPr>
          <w:rFonts w:hint="eastAsia" w:ascii="Times New Roman" w:hAnsi="Times New Roman" w:eastAsia="仿宋_GB2312" w:cs="仿宋_GB2312"/>
          <w:bCs/>
          <w:kern w:val="0"/>
          <w:sz w:val="32"/>
          <w:szCs w:val="32"/>
        </w:rPr>
        <w:t>年部门决算汇总公开单位构成包括：1、岳阳市卫生健康委</w:t>
      </w:r>
      <w:r>
        <w:rPr>
          <w:rFonts w:hint="eastAsia" w:ascii="Times New Roman" w:hAnsi="Times New Roman" w:eastAsia="仿宋_GB2312" w:cs="仿宋_GB2312"/>
          <w:bCs/>
          <w:kern w:val="0"/>
          <w:sz w:val="32"/>
          <w:szCs w:val="32"/>
          <w:lang w:eastAsia="zh-CN"/>
        </w:rPr>
        <w:t>员会</w:t>
      </w:r>
      <w:r>
        <w:rPr>
          <w:rFonts w:hint="eastAsia" w:ascii="Times New Roman" w:hAnsi="Times New Roman" w:eastAsia="仿宋_GB2312" w:cs="仿宋_GB2312"/>
          <w:bCs/>
          <w:kern w:val="0"/>
          <w:sz w:val="32"/>
          <w:szCs w:val="32"/>
        </w:rPr>
        <w:t>本级；2、岳阳市</w:t>
      </w:r>
      <w:r>
        <w:rPr>
          <w:rFonts w:hint="eastAsia" w:ascii="Times New Roman" w:hAnsi="Times New Roman" w:eastAsia="仿宋_GB2312" w:cs="仿宋_GB2312"/>
          <w:bCs/>
          <w:kern w:val="0"/>
          <w:sz w:val="32"/>
          <w:szCs w:val="32"/>
          <w:lang w:eastAsia="zh-CN"/>
        </w:rPr>
        <w:t>中心</w:t>
      </w:r>
      <w:r>
        <w:rPr>
          <w:rFonts w:hint="eastAsia" w:ascii="Times New Roman" w:hAnsi="Times New Roman" w:eastAsia="仿宋_GB2312" w:cs="仿宋_GB2312"/>
          <w:bCs/>
          <w:kern w:val="0"/>
          <w:sz w:val="32"/>
          <w:szCs w:val="32"/>
        </w:rPr>
        <w:t>医院；3、岳阳市人民医院；4、岳阳市中医院；5、岳阳市妇幼保健院；6、岳阳市</w:t>
      </w:r>
      <w:r>
        <w:rPr>
          <w:rFonts w:hint="eastAsia" w:ascii="Times New Roman" w:hAnsi="Times New Roman" w:eastAsia="仿宋_GB2312" w:cs="仿宋_GB2312"/>
          <w:bCs/>
          <w:kern w:val="0"/>
          <w:sz w:val="32"/>
          <w:szCs w:val="32"/>
          <w:lang w:val="en-US" w:eastAsia="zh-CN"/>
        </w:rPr>
        <w:t>疾病预防控制</w:t>
      </w:r>
      <w:r>
        <w:rPr>
          <w:rFonts w:hint="eastAsia" w:ascii="Times New Roman" w:hAnsi="Times New Roman" w:eastAsia="仿宋_GB2312" w:cs="仿宋_GB2312"/>
          <w:bCs/>
          <w:kern w:val="0"/>
          <w:sz w:val="32"/>
          <w:szCs w:val="32"/>
        </w:rPr>
        <w:t>中心；7、岳阳市中心血站；</w:t>
      </w:r>
      <w:r>
        <w:rPr>
          <w:rFonts w:hint="eastAsia" w:ascii="Times New Roman" w:hAnsi="Times New Roman" w:eastAsia="仿宋_GB2312" w:cs="仿宋_GB2312"/>
          <w:bCs/>
          <w:kern w:val="0"/>
          <w:sz w:val="32"/>
          <w:szCs w:val="32"/>
          <w:lang w:val="en-US" w:eastAsia="zh-CN"/>
        </w:rPr>
        <w:t>8</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val="en-US" w:eastAsia="zh-CN"/>
        </w:rPr>
        <w:t>岳阳市卫生计生综合监督执法局。</w:t>
      </w:r>
    </w:p>
    <w:p w14:paraId="2F83A1D6">
      <w:pPr>
        <w:pStyle w:val="14"/>
        <w:jc w:val="center"/>
        <w:rPr>
          <w:rFonts w:hint="eastAsia" w:ascii="方正小标宋_GBK" w:hAnsi="方正小标宋_GBK" w:eastAsia="方正小标宋_GBK" w:cs="方正小标宋_GBK"/>
          <w:sz w:val="84"/>
          <w:szCs w:val="84"/>
        </w:rPr>
      </w:pPr>
    </w:p>
    <w:p w14:paraId="209BD175">
      <w:pPr>
        <w:pStyle w:val="14"/>
        <w:jc w:val="center"/>
        <w:rPr>
          <w:rFonts w:hint="eastAsia" w:ascii="方正小标宋_GBK" w:hAnsi="方正小标宋_GBK" w:eastAsia="方正小标宋_GBK" w:cs="方正小标宋_GBK"/>
          <w:sz w:val="84"/>
          <w:szCs w:val="84"/>
        </w:rPr>
      </w:pPr>
    </w:p>
    <w:p w14:paraId="04C1A57B">
      <w:pPr>
        <w:pStyle w:val="14"/>
        <w:jc w:val="both"/>
        <w:rPr>
          <w:rFonts w:hint="eastAsia" w:ascii="方正小标宋_GBK" w:hAnsi="方正小标宋_GBK" w:eastAsia="方正小标宋_GBK" w:cs="方正小标宋_GBK"/>
          <w:sz w:val="84"/>
          <w:szCs w:val="84"/>
        </w:rPr>
      </w:pPr>
    </w:p>
    <w:p w14:paraId="775EC74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FA19E4B">
      <w:pPr>
        <w:pStyle w:val="14"/>
        <w:jc w:val="center"/>
        <w:rPr>
          <w:rFonts w:hint="eastAsia" w:ascii="方正小标宋_GBK" w:hAnsi="方正小标宋_GBK" w:eastAsia="方正小标宋_GBK" w:cs="方正小标宋_GBK"/>
          <w:sz w:val="84"/>
          <w:szCs w:val="84"/>
        </w:rPr>
      </w:pPr>
    </w:p>
    <w:p w14:paraId="698D9BE0">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4E979D3">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075B9CDA">
      <w:pPr>
        <w:pStyle w:val="14"/>
        <w:jc w:val="center"/>
        <w:rPr>
          <w:rFonts w:hint="eastAsia" w:ascii="仿宋_GB2312" w:hAnsi="仿宋_GB2312" w:eastAsia="仿宋_GB2312" w:cs="仿宋_GB2312"/>
          <w:b w:val="0"/>
          <w:bCs w:val="0"/>
          <w:sz w:val="72"/>
          <w:szCs w:val="72"/>
          <w:lang w:eastAsia="zh-CN"/>
        </w:rPr>
      </w:pPr>
    </w:p>
    <w:p w14:paraId="320D995D">
      <w:pPr>
        <w:pStyle w:val="14"/>
        <w:jc w:val="center"/>
        <w:rPr>
          <w:rFonts w:hint="eastAsia" w:ascii="仿宋_GB2312" w:hAnsi="仿宋_GB2312" w:eastAsia="仿宋_GB2312" w:cs="仿宋_GB2312"/>
          <w:b w:val="0"/>
          <w:bCs w:val="0"/>
          <w:sz w:val="72"/>
          <w:szCs w:val="72"/>
          <w:lang w:eastAsia="zh-CN"/>
        </w:rPr>
      </w:pPr>
    </w:p>
    <w:p w14:paraId="63565E98">
      <w:pPr>
        <w:pStyle w:val="14"/>
        <w:jc w:val="center"/>
        <w:rPr>
          <w:rFonts w:hint="eastAsia" w:ascii="仿宋_GB2312" w:hAnsi="仿宋_GB2312" w:eastAsia="仿宋_GB2312" w:cs="仿宋_GB2312"/>
          <w:b w:val="0"/>
          <w:bCs w:val="0"/>
          <w:sz w:val="72"/>
          <w:szCs w:val="72"/>
          <w:lang w:eastAsia="zh-CN"/>
        </w:rPr>
      </w:pPr>
    </w:p>
    <w:p w14:paraId="781EC93D">
      <w:pPr>
        <w:pStyle w:val="14"/>
        <w:jc w:val="center"/>
        <w:rPr>
          <w:rFonts w:hint="eastAsia" w:ascii="仿宋_GB2312" w:hAnsi="仿宋_GB2312" w:eastAsia="仿宋_GB2312" w:cs="仿宋_GB2312"/>
          <w:b w:val="0"/>
          <w:bCs w:val="0"/>
          <w:sz w:val="72"/>
          <w:szCs w:val="72"/>
          <w:lang w:eastAsia="zh-CN"/>
        </w:rPr>
      </w:pPr>
    </w:p>
    <w:p w14:paraId="70D1F408">
      <w:pPr>
        <w:pStyle w:val="14"/>
        <w:jc w:val="center"/>
        <w:rPr>
          <w:rFonts w:hint="eastAsia" w:ascii="仿宋_GB2312" w:hAnsi="仿宋_GB2312" w:eastAsia="仿宋_GB2312" w:cs="仿宋_GB2312"/>
          <w:b w:val="0"/>
          <w:bCs w:val="0"/>
          <w:sz w:val="72"/>
          <w:szCs w:val="72"/>
          <w:lang w:eastAsia="zh-CN"/>
        </w:rPr>
      </w:pPr>
    </w:p>
    <w:p w14:paraId="2573034F">
      <w:pPr>
        <w:pStyle w:val="14"/>
        <w:jc w:val="center"/>
        <w:rPr>
          <w:rFonts w:hint="eastAsia" w:ascii="仿宋_GB2312" w:hAnsi="仿宋_GB2312" w:eastAsia="仿宋_GB2312" w:cs="仿宋_GB2312"/>
          <w:b w:val="0"/>
          <w:bCs w:val="0"/>
          <w:sz w:val="72"/>
          <w:szCs w:val="72"/>
          <w:lang w:eastAsia="zh-CN"/>
        </w:rPr>
      </w:pPr>
    </w:p>
    <w:p w14:paraId="55F3D097">
      <w:pPr>
        <w:pStyle w:val="14"/>
        <w:jc w:val="center"/>
        <w:rPr>
          <w:rFonts w:hint="eastAsia" w:ascii="仿宋_GB2312" w:hAnsi="仿宋_GB2312" w:eastAsia="仿宋_GB2312" w:cs="仿宋_GB2312"/>
          <w:b w:val="0"/>
          <w:bCs w:val="0"/>
          <w:sz w:val="72"/>
          <w:szCs w:val="72"/>
          <w:lang w:eastAsia="zh-CN"/>
        </w:rPr>
      </w:pPr>
    </w:p>
    <w:p w14:paraId="1BD6FD66">
      <w:pPr>
        <w:pStyle w:val="14"/>
        <w:jc w:val="center"/>
        <w:rPr>
          <w:rFonts w:hint="eastAsia" w:ascii="方正小标宋_GBK" w:hAnsi="方正小标宋_GBK" w:eastAsia="方正小标宋_GBK" w:cs="方正小标宋_GBK"/>
          <w:sz w:val="72"/>
          <w:szCs w:val="72"/>
        </w:rPr>
      </w:pPr>
    </w:p>
    <w:p w14:paraId="5EA83A8F">
      <w:pPr>
        <w:pStyle w:val="14"/>
        <w:jc w:val="center"/>
        <w:rPr>
          <w:rFonts w:hint="eastAsia" w:ascii="方正小标宋_GBK" w:hAnsi="方正小标宋_GBK" w:eastAsia="方正小标宋_GBK" w:cs="方正小标宋_GBK"/>
          <w:sz w:val="72"/>
          <w:szCs w:val="72"/>
        </w:rPr>
      </w:pPr>
    </w:p>
    <w:p w14:paraId="115B58D6">
      <w:pPr>
        <w:pStyle w:val="14"/>
        <w:jc w:val="both"/>
        <w:rPr>
          <w:rFonts w:hint="eastAsia" w:ascii="方正小标宋_GBK" w:hAnsi="方正小标宋_GBK" w:eastAsia="方正小标宋_GBK" w:cs="方正小标宋_GBK"/>
          <w:sz w:val="72"/>
          <w:szCs w:val="72"/>
        </w:rPr>
      </w:pPr>
    </w:p>
    <w:p w14:paraId="14C3E12E">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6AE8E11F">
      <w:pPr>
        <w:pStyle w:val="14"/>
        <w:jc w:val="center"/>
        <w:rPr>
          <w:rFonts w:hint="eastAsia" w:ascii="方正小标宋_GBK" w:hAnsi="方正小标宋_GBK" w:eastAsia="方正小标宋_GBK" w:cs="方正小标宋_GBK"/>
          <w:sz w:val="70"/>
          <w:szCs w:val="70"/>
        </w:rPr>
      </w:pPr>
    </w:p>
    <w:p w14:paraId="7FC990B2">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3E5F34A">
      <w:pPr>
        <w:pStyle w:val="14"/>
        <w:jc w:val="center"/>
        <w:rPr>
          <w:rFonts w:hint="eastAsia" w:ascii="方正小标宋_GBK" w:hAnsi="方正小标宋_GBK" w:eastAsia="方正小标宋_GBK" w:cs="方正小标宋_GBK"/>
          <w:sz w:val="70"/>
          <w:szCs w:val="70"/>
        </w:rPr>
      </w:pPr>
    </w:p>
    <w:p w14:paraId="57DBAC4B">
      <w:pPr>
        <w:pStyle w:val="14"/>
        <w:jc w:val="center"/>
        <w:rPr>
          <w:rFonts w:hint="eastAsia" w:ascii="方正小标宋_GBK" w:hAnsi="方正小标宋_GBK" w:eastAsia="方正小标宋_GBK" w:cs="方正小标宋_GBK"/>
          <w:sz w:val="70"/>
          <w:szCs w:val="70"/>
        </w:rPr>
      </w:pPr>
    </w:p>
    <w:p w14:paraId="43FF0280">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B3CED4F">
      <w:pPr>
        <w:pStyle w:val="14"/>
        <w:jc w:val="center"/>
        <w:rPr>
          <w:rFonts w:hint="eastAsia" w:ascii="方正小标宋_GBK" w:hAnsi="方正小标宋_GBK" w:eastAsia="方正小标宋_GBK" w:cs="方正小标宋_GBK"/>
          <w:sz w:val="70"/>
          <w:szCs w:val="70"/>
        </w:rPr>
      </w:pPr>
    </w:p>
    <w:p w14:paraId="0DDB94E8">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p>
    <w:p w14:paraId="35F2DE4C">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p>
    <w:p w14:paraId="41868429">
      <w:pPr>
        <w:pStyle w:val="14"/>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p>
    <w:p w14:paraId="2CBF21C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15A5F8D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年度收、支总计436065.68万元。与上年相比，增加</w:t>
      </w:r>
      <w:r>
        <w:rPr>
          <w:rFonts w:hint="eastAsia" w:ascii="仿宋_GB2312" w:hAnsi="仿宋_GB2312" w:eastAsia="仿宋_GB2312" w:cs="仿宋_GB2312"/>
          <w:sz w:val="32"/>
          <w:szCs w:val="32"/>
          <w:lang w:val="en-US" w:eastAsia="zh-CN"/>
        </w:rPr>
        <w:t>6567.63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1.53</w:t>
      </w:r>
      <w:r>
        <w:rPr>
          <w:rFonts w:hint="eastAsia" w:ascii="仿宋_GB2312" w:hAnsi="仿宋_GB2312" w:eastAsia="仿宋_GB2312" w:cs="仿宋_GB2312"/>
          <w:sz w:val="32"/>
          <w:szCs w:val="32"/>
        </w:rPr>
        <w:t>%，主要是因为事业收入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卫生健康支出相比去年增加。</w:t>
      </w:r>
    </w:p>
    <w:p w14:paraId="30CBA76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D1AE63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年度收入合计407274.16万元，其中：财政拨款收入52274.51万元，占</w:t>
      </w:r>
      <w:r>
        <w:rPr>
          <w:rFonts w:hint="eastAsia" w:ascii="仿宋_GB2312" w:hAnsi="仿宋_GB2312" w:eastAsia="仿宋_GB2312" w:cs="仿宋_GB2312"/>
          <w:sz w:val="32"/>
          <w:szCs w:val="32"/>
          <w:lang w:val="en-US" w:eastAsia="zh-CN"/>
        </w:rPr>
        <w:t>12.84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%；事业收入353662.67万元，占</w:t>
      </w:r>
      <w:r>
        <w:rPr>
          <w:rFonts w:hint="eastAsia" w:ascii="仿宋_GB2312" w:hAnsi="仿宋_GB2312" w:eastAsia="仿宋_GB2312" w:cs="仿宋_GB2312"/>
          <w:sz w:val="32"/>
          <w:szCs w:val="32"/>
          <w:lang w:val="en-US" w:eastAsia="zh-CN"/>
        </w:rPr>
        <w:t>86.84</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%；其他收入1336.98万元，占</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w:t>
      </w:r>
    </w:p>
    <w:p w14:paraId="3BC4DD1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5D4EC5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年度支出合计393427.61万元，其中：基本支出362176.84万元，占</w:t>
      </w:r>
      <w:r>
        <w:rPr>
          <w:rFonts w:hint="eastAsia" w:ascii="仿宋_GB2312" w:hAnsi="仿宋_GB2312" w:eastAsia="仿宋_GB2312" w:cs="仿宋_GB2312"/>
          <w:sz w:val="32"/>
          <w:szCs w:val="32"/>
          <w:lang w:val="en-US" w:eastAsia="zh-CN"/>
        </w:rPr>
        <w:t>92.06</w:t>
      </w:r>
      <w:r>
        <w:rPr>
          <w:rFonts w:hint="eastAsia" w:ascii="仿宋_GB2312" w:hAnsi="仿宋_GB2312" w:eastAsia="仿宋_GB2312" w:cs="仿宋_GB2312"/>
          <w:sz w:val="32"/>
          <w:szCs w:val="32"/>
        </w:rPr>
        <w:t>%；项目支出31250.77万元，占</w:t>
      </w:r>
      <w:r>
        <w:rPr>
          <w:rFonts w:hint="eastAsia" w:ascii="仿宋_GB2312" w:hAnsi="仿宋_GB2312" w:eastAsia="仿宋_GB2312" w:cs="仿宋_GB2312"/>
          <w:sz w:val="32"/>
          <w:szCs w:val="32"/>
          <w:lang w:val="en-US" w:eastAsia="zh-CN"/>
        </w:rPr>
        <w:t>7.94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3522FE8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0D48877">
      <w:pPr>
        <w:pStyle w:val="14"/>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年度财政拨款收、支总计79047.03万元，与上年相比，减少</w:t>
      </w:r>
      <w:r>
        <w:rPr>
          <w:rFonts w:hint="eastAsia" w:ascii="仿宋_GB2312" w:hAnsi="仿宋_GB2312" w:eastAsia="仿宋_GB2312" w:cs="仿宋_GB2312"/>
          <w:sz w:val="32"/>
          <w:szCs w:val="32"/>
          <w:lang w:val="en-US" w:eastAsia="zh-CN"/>
        </w:rPr>
        <w:t>13323.24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14.42</w:t>
      </w:r>
      <w:r>
        <w:rPr>
          <w:rFonts w:hint="eastAsia" w:ascii="仿宋_GB2312" w:hAnsi="仿宋_GB2312" w:eastAsia="仿宋_GB2312" w:cs="仿宋_GB2312"/>
          <w:sz w:val="32"/>
          <w:szCs w:val="32"/>
        </w:rPr>
        <w:t>%，主要是因为一般公共预算财政拨款</w:t>
      </w:r>
      <w:r>
        <w:rPr>
          <w:rFonts w:hint="eastAsia" w:ascii="仿宋_GB2312" w:hAnsi="仿宋_GB2312" w:eastAsia="仿宋_GB2312" w:cs="仿宋_GB2312"/>
          <w:sz w:val="32"/>
          <w:szCs w:val="32"/>
          <w:lang w:eastAsia="zh-CN"/>
        </w:rPr>
        <w:t>、政府性基金预算财政拨款</w:t>
      </w:r>
      <w:r>
        <w:rPr>
          <w:rFonts w:hint="eastAsia" w:ascii="仿宋_GB2312" w:hAnsi="仿宋_GB2312" w:eastAsia="仿宋_GB2312" w:cs="仿宋_GB2312"/>
          <w:sz w:val="32"/>
          <w:szCs w:val="32"/>
          <w:lang w:val="en-US" w:eastAsia="zh-CN"/>
        </w:rPr>
        <w:t>相比去年减少。</w:t>
      </w:r>
    </w:p>
    <w:p w14:paraId="1397D1A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7BC6B1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B57989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年度财政拨款支出38759.66万元，占本年支出合计的</w:t>
      </w:r>
      <w:r>
        <w:rPr>
          <w:rFonts w:hint="eastAsia" w:ascii="仿宋_GB2312" w:hAnsi="仿宋_GB2312" w:eastAsia="仿宋_GB2312" w:cs="仿宋_GB2312"/>
          <w:sz w:val="32"/>
          <w:szCs w:val="32"/>
          <w:lang w:val="en-US" w:eastAsia="zh-CN"/>
        </w:rPr>
        <w:t>9.85</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6575.42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20.43</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rPr>
        <w:t>卫生健康支出</w:t>
      </w:r>
      <w:r>
        <w:rPr>
          <w:rFonts w:hint="eastAsia" w:ascii="Times New Roman" w:hAnsi="Times New Roman" w:eastAsia="仿宋_GB2312"/>
          <w:sz w:val="32"/>
          <w:szCs w:val="32"/>
          <w:lang w:eastAsia="zh-CN"/>
        </w:rPr>
        <w:t>相比去年增加。</w:t>
      </w:r>
    </w:p>
    <w:p w14:paraId="16581FF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5F9CF15A">
      <w:pPr>
        <w:pStyle w:val="14"/>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年度财政拨款支出38759.66万元，主要用于以下方面：一般公共服务（类）支出28.3万元，占</w:t>
      </w:r>
      <w:r>
        <w:rPr>
          <w:rFonts w:hint="eastAsia" w:ascii="仿宋_GB2312" w:hAnsi="仿宋_GB2312" w:eastAsia="仿宋_GB2312" w:cs="仿宋_GB2312"/>
          <w:sz w:val="32"/>
          <w:szCs w:val="32"/>
          <w:lang w:val="en-US" w:eastAsia="zh-CN"/>
        </w:rPr>
        <w:t>0.07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科学技术支出</w:t>
      </w:r>
      <w:r>
        <w:rPr>
          <w:rFonts w:hint="eastAsia" w:ascii="仿宋_GB2312" w:hAnsi="仿宋_GB2312" w:eastAsia="仿宋_GB2312" w:cs="仿宋_GB2312"/>
          <w:sz w:val="32"/>
          <w:szCs w:val="32"/>
          <w:lang w:val="en-US" w:eastAsia="zh-CN"/>
        </w:rPr>
        <w:t>395.36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;社会保障和就业支出814.32万元,占2.1%;卫生健康支出37008.25万元,占95.48%；城乡社区支出26.92万元，占0.07%；住房保障支出486.51万元，占1.26%。</w:t>
      </w:r>
    </w:p>
    <w:p w14:paraId="26DBE24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B8E4B7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年度财政拨款支出年初预算数为52274.51万元，支出决算数为38966.66万元，完成年初预算的</w:t>
      </w:r>
      <w:r>
        <w:rPr>
          <w:rFonts w:hint="eastAsia" w:ascii="仿宋_GB2312" w:hAnsi="仿宋_GB2312" w:eastAsia="仿宋_GB2312" w:cs="仿宋_GB2312"/>
          <w:sz w:val="32"/>
          <w:szCs w:val="32"/>
          <w:lang w:val="en-US" w:eastAsia="zh-CN"/>
        </w:rPr>
        <w:t>74.54</w:t>
      </w:r>
      <w:r>
        <w:rPr>
          <w:rFonts w:hint="eastAsia" w:ascii="仿宋_GB2312" w:hAnsi="仿宋_GB2312" w:eastAsia="仿宋_GB2312" w:cs="仿宋_GB2312"/>
          <w:sz w:val="32"/>
          <w:szCs w:val="32"/>
        </w:rPr>
        <w:t>%，其中：</w:t>
      </w:r>
    </w:p>
    <w:p w14:paraId="6AB3ED5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1、一般公共服务（类）人大事务（款）一般行政管理事务（项）。</w:t>
      </w:r>
    </w:p>
    <w:p w14:paraId="50703B5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92.51</w:t>
      </w:r>
      <w:r>
        <w:rPr>
          <w:rFonts w:hint="eastAsia" w:ascii="仿宋_GB2312" w:hAnsi="仿宋_GB2312" w:eastAsia="仿宋_GB2312" w:cs="仿宋_GB2312"/>
          <w:sz w:val="32"/>
          <w:szCs w:val="32"/>
        </w:rPr>
        <w:t>万元，支出决算为28.3万元，完成年初预算的</w:t>
      </w:r>
      <w:r>
        <w:rPr>
          <w:rFonts w:hint="eastAsia" w:ascii="仿宋_GB2312" w:hAnsi="仿宋_GB2312" w:eastAsia="仿宋_GB2312" w:cs="仿宋_GB2312"/>
          <w:sz w:val="32"/>
          <w:szCs w:val="32"/>
          <w:lang w:val="en-US" w:eastAsia="zh-CN"/>
        </w:rPr>
        <w:t>30.59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节约</w:t>
      </w:r>
      <w:r>
        <w:rPr>
          <w:rFonts w:hint="eastAsia" w:ascii="仿宋_GB2312" w:hAnsi="仿宋_GB2312" w:eastAsia="仿宋_GB2312" w:cs="仿宋_GB2312"/>
          <w:sz w:val="32"/>
          <w:szCs w:val="32"/>
        </w:rPr>
        <w:t>行政管理事务</w:t>
      </w:r>
      <w:r>
        <w:rPr>
          <w:rFonts w:hint="eastAsia" w:ascii="仿宋_GB2312" w:hAnsi="仿宋_GB2312" w:eastAsia="仿宋_GB2312" w:cs="仿宋_GB2312"/>
          <w:sz w:val="32"/>
          <w:szCs w:val="32"/>
          <w:lang w:val="en-US" w:eastAsia="zh-CN"/>
        </w:rPr>
        <w:t>开支。</w:t>
      </w:r>
    </w:p>
    <w:p w14:paraId="0A5111A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2、科学技术支出（类）基础研究（款）自然科学基金（项）。</w:t>
      </w:r>
    </w:p>
    <w:p w14:paraId="516F25D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万元，支出决算为33.26万元，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2601CB0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、科学技术支出（类）技术研究与开发（款）其他技术研究与开发支出（项）。</w:t>
      </w:r>
    </w:p>
    <w:p w14:paraId="17C7AB2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万元，支出决算为91.55万元，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35B9F97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、科学技术支出（类）其他科学技术支出（款）其他科学技术支出（项）。</w:t>
      </w:r>
    </w:p>
    <w:p w14:paraId="6EBE809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万元，支出决算为270.55万元，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，决算数大于初预算数的主要原因是：上年结转的科研资金以及年中拨付的省级科研专项资金</w:t>
      </w:r>
      <w:r>
        <w:rPr>
          <w:rFonts w:hint="eastAsia" w:ascii="仿宋_GB2312" w:hAnsi="仿宋_GB2312" w:eastAsia="仿宋_GB2312" w:cs="仿宋_GB2312"/>
          <w:sz w:val="32"/>
          <w:szCs w:val="32"/>
          <w:lang w:eastAsia="zh-CN"/>
        </w:rPr>
        <w:t>，公立医院科学技术支出增加。</w:t>
      </w:r>
    </w:p>
    <w:p w14:paraId="498270F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、社会保障和就业支出（类）行政事业单位养老支出（款）行政单位离退休（项）。</w:t>
      </w:r>
    </w:p>
    <w:p w14:paraId="300165A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24.66</w:t>
      </w:r>
      <w:r>
        <w:rPr>
          <w:rFonts w:hint="eastAsia" w:ascii="仿宋_GB2312" w:hAnsi="仿宋_GB2312" w:eastAsia="仿宋_GB2312" w:cs="仿宋_GB2312"/>
          <w:sz w:val="32"/>
          <w:szCs w:val="32"/>
        </w:rPr>
        <w:t>万元，支出决算为24.66万元，完成年初预算的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65E1A12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、社会保障和就业支出（类）行政事业单位养老支出（款）事业单位离退休（项）。</w:t>
      </w:r>
    </w:p>
    <w:p w14:paraId="68F766B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22.52</w:t>
      </w:r>
      <w:r>
        <w:rPr>
          <w:rFonts w:hint="eastAsia" w:ascii="仿宋_GB2312" w:hAnsi="仿宋_GB2312" w:eastAsia="仿宋_GB2312" w:cs="仿宋_GB2312"/>
          <w:sz w:val="32"/>
          <w:szCs w:val="32"/>
        </w:rPr>
        <w:t>万元，支出决算为18.63万元，完成年初预算的</w:t>
      </w:r>
      <w:r>
        <w:rPr>
          <w:rFonts w:hint="eastAsia" w:ascii="仿宋_GB2312" w:hAnsi="仿宋_GB2312" w:eastAsia="仿宋_GB2312" w:cs="仿宋_GB2312"/>
          <w:sz w:val="32"/>
          <w:szCs w:val="32"/>
          <w:lang w:val="en-US" w:eastAsia="zh-CN"/>
        </w:rPr>
        <w:t>82.73</w:t>
      </w:r>
      <w:r>
        <w:rPr>
          <w:rFonts w:hint="eastAsia" w:ascii="仿宋_GB2312" w:hAnsi="仿宋_GB2312" w:eastAsia="仿宋_GB2312" w:cs="仿宋_GB2312"/>
          <w:sz w:val="32"/>
          <w:szCs w:val="32"/>
        </w:rPr>
        <w:t>%，决算数小于年初预算数的主要原因是：年中离退休人员变化。</w:t>
      </w:r>
    </w:p>
    <w:p w14:paraId="510211C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、社会保障和就业支出（类）行政事业单位养老支出（款）机关事业单位基本养老保险缴费支出（项）。</w:t>
      </w:r>
    </w:p>
    <w:p w14:paraId="1887BA3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560.11</w:t>
      </w:r>
      <w:r>
        <w:rPr>
          <w:rFonts w:hint="eastAsia" w:ascii="仿宋_GB2312" w:hAnsi="仿宋_GB2312" w:eastAsia="仿宋_GB2312" w:cs="仿宋_GB2312"/>
          <w:sz w:val="32"/>
          <w:szCs w:val="32"/>
        </w:rPr>
        <w:t>万元，支出决算为560.11万元，完成年初预算的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7AC3357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、社会保障和就业支出（类）行政事业单位养老支出（款）其他行政事业单位养老支出（项）。</w:t>
      </w:r>
    </w:p>
    <w:p w14:paraId="1380EAE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万元，支出决算为1.22万元，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补足</w:t>
      </w:r>
      <w:r>
        <w:rPr>
          <w:rFonts w:hint="eastAsia" w:ascii="仿宋_GB2312" w:hAnsi="仿宋_GB2312" w:eastAsia="仿宋_GB2312" w:cs="仿宋_GB2312"/>
          <w:sz w:val="32"/>
          <w:szCs w:val="32"/>
        </w:rPr>
        <w:t>其他行政事业单位养老支出</w:t>
      </w:r>
      <w:r>
        <w:rPr>
          <w:rFonts w:hint="eastAsia" w:ascii="仿宋_GB2312" w:hAnsi="仿宋_GB2312" w:eastAsia="仿宋_GB2312" w:cs="仿宋_GB2312"/>
          <w:sz w:val="32"/>
          <w:szCs w:val="32"/>
          <w:lang w:val="en-US" w:eastAsia="zh-CN"/>
        </w:rPr>
        <w:t>需求。</w:t>
      </w:r>
    </w:p>
    <w:p w14:paraId="6ED0FD9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、社会保障和就业支出（类）抚恤（款）其他优抚支出（项）。</w:t>
      </w:r>
    </w:p>
    <w:p w14:paraId="25A627B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30.23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此项经费为过逝老同志一次性抚恤金，由市财政按照标准据实拨付，未纳入年初部门预算。</w:t>
      </w:r>
    </w:p>
    <w:p w14:paraId="1F0E2D5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、社会保障和就业支出（类）残疾人事业（款）其他残疾人事业支出（项）。</w:t>
      </w:r>
    </w:p>
    <w:p w14:paraId="26E3254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10.31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34699DA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、社会保障和就业支出（类）临时救助（款）流浪乞讨人员救助支出（项）。</w:t>
      </w:r>
    </w:p>
    <w:p w14:paraId="13A5AA2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万元，支出决算为20.46万元，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承担社会责任，</w:t>
      </w:r>
      <w:r>
        <w:rPr>
          <w:rFonts w:hint="eastAsia" w:ascii="仿宋_GB2312" w:hAnsi="仿宋_GB2312" w:eastAsia="仿宋_GB2312" w:cs="仿宋_GB2312"/>
          <w:sz w:val="32"/>
          <w:szCs w:val="32"/>
        </w:rPr>
        <w:t>救助流浪乞讨人员</w:t>
      </w:r>
      <w:r>
        <w:rPr>
          <w:rFonts w:hint="eastAsia" w:ascii="仿宋_GB2312" w:hAnsi="仿宋_GB2312" w:eastAsia="仿宋_GB2312" w:cs="仿宋_GB2312"/>
          <w:sz w:val="32"/>
          <w:szCs w:val="32"/>
          <w:lang w:eastAsia="zh-CN"/>
        </w:rPr>
        <w:t>。</w:t>
      </w:r>
    </w:p>
    <w:p w14:paraId="26B8080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、社会保障和就业支出（类）其他社会保障和就业支出（款）其他社会保障和就业支出（项）。</w:t>
      </w:r>
    </w:p>
    <w:p w14:paraId="5BE5B7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12.41</w:t>
      </w:r>
      <w:r>
        <w:rPr>
          <w:rFonts w:hint="eastAsia" w:ascii="仿宋_GB2312" w:hAnsi="仿宋_GB2312" w:eastAsia="仿宋_GB2312" w:cs="仿宋_GB2312"/>
          <w:sz w:val="32"/>
          <w:szCs w:val="32"/>
        </w:rPr>
        <w:t>万元，支出决算为148.7万元，完成年初预算的</w:t>
      </w:r>
      <w:r>
        <w:rPr>
          <w:rFonts w:hint="eastAsia" w:ascii="仿宋_GB2312" w:hAnsi="仿宋_GB2312" w:eastAsia="仿宋_GB2312" w:cs="仿宋_GB2312"/>
          <w:sz w:val="32"/>
          <w:szCs w:val="32"/>
          <w:lang w:val="en-US" w:eastAsia="zh-CN"/>
        </w:rPr>
        <w:t>1198.23</w:t>
      </w:r>
      <w:r>
        <w:rPr>
          <w:rFonts w:hint="eastAsia" w:ascii="仿宋_GB2312" w:hAnsi="仿宋_GB2312" w:eastAsia="仿宋_GB2312" w:cs="仿宋_GB2312"/>
          <w:sz w:val="32"/>
          <w:szCs w:val="32"/>
        </w:rPr>
        <w:t>%，决算数大于年初预算数的主要原因是：其他社会保障和就业</w:t>
      </w:r>
      <w:r>
        <w:rPr>
          <w:rFonts w:hint="eastAsia" w:ascii="仿宋_GB2312" w:hAnsi="仿宋_GB2312" w:eastAsia="仿宋_GB2312" w:cs="仿宋_GB2312"/>
          <w:sz w:val="32"/>
          <w:szCs w:val="32"/>
          <w:lang w:val="en-US" w:eastAsia="zh-CN"/>
        </w:rPr>
        <w:t>实际支出需求大于预算数。</w:t>
      </w:r>
    </w:p>
    <w:p w14:paraId="61F00B2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、卫生健康支出（类）卫生健康管理事务（款）行政运行（项）。</w:t>
      </w:r>
    </w:p>
    <w:p w14:paraId="35134AF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1138.24</w:t>
      </w:r>
      <w:r>
        <w:rPr>
          <w:rFonts w:hint="eastAsia" w:ascii="仿宋_GB2312" w:hAnsi="仿宋_GB2312" w:eastAsia="仿宋_GB2312" w:cs="仿宋_GB2312"/>
          <w:sz w:val="32"/>
          <w:szCs w:val="32"/>
        </w:rPr>
        <w:t>万元，支出决算为1375.19万元，完成年初预算的</w:t>
      </w:r>
      <w:r>
        <w:rPr>
          <w:rFonts w:hint="eastAsia" w:ascii="仿宋_GB2312" w:hAnsi="仿宋_GB2312" w:eastAsia="仿宋_GB2312" w:cs="仿宋_GB2312"/>
          <w:sz w:val="32"/>
          <w:szCs w:val="32"/>
          <w:lang w:val="en-US" w:eastAsia="zh-CN"/>
        </w:rPr>
        <w:t>120.82</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行政运行成本增加。</w:t>
      </w:r>
    </w:p>
    <w:p w14:paraId="457ABF4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、卫生健康支出（类）卫生健康管理事务（款）一般行政管理事务（项）。</w:t>
      </w:r>
    </w:p>
    <w:p w14:paraId="779958E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418</w:t>
      </w:r>
      <w:r>
        <w:rPr>
          <w:rFonts w:hint="eastAsia" w:ascii="仿宋_GB2312" w:hAnsi="仿宋_GB2312" w:eastAsia="仿宋_GB2312" w:cs="仿宋_GB2312"/>
          <w:sz w:val="32"/>
          <w:szCs w:val="32"/>
        </w:rPr>
        <w:t>万元，支出决算为160.31万元，完成年初预算的</w:t>
      </w:r>
      <w:r>
        <w:rPr>
          <w:rFonts w:hint="eastAsia" w:ascii="仿宋_GB2312" w:hAnsi="仿宋_GB2312" w:eastAsia="仿宋_GB2312" w:cs="仿宋_GB2312"/>
          <w:sz w:val="32"/>
          <w:szCs w:val="32"/>
          <w:lang w:val="en-US" w:eastAsia="zh-CN"/>
        </w:rPr>
        <w:t>38.35</w:t>
      </w:r>
      <w:r>
        <w:rPr>
          <w:rFonts w:hint="eastAsia" w:ascii="仿宋_GB2312" w:hAnsi="仿宋_GB2312" w:eastAsia="仿宋_GB2312" w:cs="仿宋_GB2312"/>
          <w:sz w:val="32"/>
          <w:szCs w:val="32"/>
        </w:rPr>
        <w:t>%，决算数小于年初预算数的主要原因是：一般行政管理事务</w:t>
      </w:r>
      <w:r>
        <w:rPr>
          <w:rFonts w:hint="eastAsia" w:ascii="仿宋_GB2312" w:hAnsi="仿宋_GB2312" w:eastAsia="仿宋_GB2312" w:cs="仿宋_GB2312"/>
          <w:sz w:val="32"/>
          <w:szCs w:val="32"/>
          <w:lang w:val="en-US" w:eastAsia="zh-CN"/>
        </w:rPr>
        <w:t>节约支出。</w:t>
      </w:r>
    </w:p>
    <w:p w14:paraId="672DDEF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、卫生健康支出（类）卫生健康管理事务（款）其他卫生健康管理事务支出（项）。</w:t>
      </w:r>
    </w:p>
    <w:p w14:paraId="637A990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万元，支出决算为226.14万元，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考试考务费的支出。</w:t>
      </w:r>
    </w:p>
    <w:p w14:paraId="5C0367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、卫生健康支出（类）公立医院（款）综合医院（项）。</w:t>
      </w:r>
    </w:p>
    <w:p w14:paraId="450F56D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1333</w:t>
      </w:r>
      <w:r>
        <w:rPr>
          <w:rFonts w:hint="eastAsia" w:ascii="仿宋_GB2312" w:hAnsi="仿宋_GB2312" w:eastAsia="仿宋_GB2312" w:cs="仿宋_GB2312"/>
          <w:sz w:val="32"/>
          <w:szCs w:val="32"/>
        </w:rPr>
        <w:t>万元，支出决算为3825.82万元，完成年初预算的</w:t>
      </w:r>
      <w:r>
        <w:rPr>
          <w:rFonts w:hint="eastAsia" w:ascii="仿宋_GB2312" w:hAnsi="仿宋_GB2312" w:eastAsia="仿宋_GB2312" w:cs="仿宋_GB2312"/>
          <w:sz w:val="32"/>
          <w:szCs w:val="32"/>
          <w:lang w:val="en-US" w:eastAsia="zh-CN"/>
        </w:rPr>
        <w:t>287.01</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综合医院业务增加，支出增加。</w:t>
      </w:r>
    </w:p>
    <w:p w14:paraId="4BA06DD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、卫生健康支出（类）公立医院（款）中医（民族）医院（项）。</w:t>
      </w:r>
    </w:p>
    <w:p w14:paraId="4A7A475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250.6</w:t>
      </w:r>
      <w:r>
        <w:rPr>
          <w:rFonts w:hint="eastAsia" w:ascii="仿宋_GB2312" w:hAnsi="仿宋_GB2312" w:eastAsia="仿宋_GB2312" w:cs="仿宋_GB2312"/>
          <w:sz w:val="32"/>
          <w:szCs w:val="32"/>
        </w:rPr>
        <w:t>万元，支出决算为350万元，完成年初预算的</w:t>
      </w:r>
      <w:r>
        <w:rPr>
          <w:rFonts w:hint="eastAsia" w:ascii="仿宋_GB2312" w:hAnsi="仿宋_GB2312" w:eastAsia="仿宋_GB2312" w:cs="仿宋_GB2312"/>
          <w:sz w:val="32"/>
          <w:szCs w:val="32"/>
          <w:lang w:val="en-US" w:eastAsia="zh-CN"/>
        </w:rPr>
        <w:t>139.66</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中医院业务增加，支出增加。</w:t>
      </w:r>
    </w:p>
    <w:p w14:paraId="2C3737F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、卫生健康支出（类）公立医院（款）妇幼保健医院（项）。</w:t>
      </w:r>
    </w:p>
    <w:p w14:paraId="0F3C98D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1510.67</w:t>
      </w:r>
      <w:r>
        <w:rPr>
          <w:rFonts w:hint="eastAsia" w:ascii="仿宋_GB2312" w:hAnsi="仿宋_GB2312" w:eastAsia="仿宋_GB2312" w:cs="仿宋_GB2312"/>
          <w:sz w:val="32"/>
          <w:szCs w:val="32"/>
        </w:rPr>
        <w:t>万元，支出决算为1245.71万元，完成年初预算的</w:t>
      </w:r>
      <w:r>
        <w:rPr>
          <w:rFonts w:hint="eastAsia" w:ascii="仿宋_GB2312" w:hAnsi="仿宋_GB2312" w:eastAsia="仿宋_GB2312" w:cs="仿宋_GB2312"/>
          <w:sz w:val="32"/>
          <w:szCs w:val="32"/>
          <w:lang w:val="en-US" w:eastAsia="zh-CN"/>
        </w:rPr>
        <w:t>82.46</w:t>
      </w:r>
      <w:r>
        <w:rPr>
          <w:rFonts w:hint="eastAsia" w:ascii="仿宋_GB2312" w:hAnsi="仿宋_GB2312" w:eastAsia="仿宋_GB2312" w:cs="仿宋_GB2312"/>
          <w:sz w:val="32"/>
          <w:szCs w:val="32"/>
        </w:rPr>
        <w:t>%，决算数小于年初预算数的主要原因是：妇幼保健医院</w:t>
      </w:r>
      <w:r>
        <w:rPr>
          <w:rFonts w:hint="eastAsia" w:ascii="仿宋_GB2312" w:hAnsi="仿宋_GB2312" w:eastAsia="仿宋_GB2312" w:cs="仿宋_GB2312"/>
          <w:sz w:val="32"/>
          <w:szCs w:val="32"/>
          <w:lang w:val="en-US" w:eastAsia="zh-CN"/>
        </w:rPr>
        <w:t>业务萎缩。</w:t>
      </w:r>
    </w:p>
    <w:p w14:paraId="433F507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、卫生健康支出（类）公立医院（款）其他公立医院支出（项）。</w:t>
      </w:r>
    </w:p>
    <w:p w14:paraId="34B0E89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万元，支出决算为13173.73万元，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，决算数大于年初预算数的主要原因是：年初没有预算，是追加的公立医院专项资金。</w:t>
      </w:r>
    </w:p>
    <w:p w14:paraId="0341082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、卫生健康支出（类）基层医疗卫生机构（款）其他基层医疗卫生机构支出（项）。</w:t>
      </w:r>
    </w:p>
    <w:p w14:paraId="659C14C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万元，支出决算为366.4万元，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，决算数大于年初预算数的主要原因是：年初没有预算，是追加的基层医疗卫生机构专项资金。</w:t>
      </w:r>
    </w:p>
    <w:p w14:paraId="1A33449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、卫生健康支出（类）公共卫生（款）疾病预防控制机构（项）。</w:t>
      </w:r>
    </w:p>
    <w:p w14:paraId="3713D81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1781.06</w:t>
      </w:r>
      <w:r>
        <w:rPr>
          <w:rFonts w:hint="eastAsia" w:ascii="仿宋_GB2312" w:hAnsi="仿宋_GB2312" w:eastAsia="仿宋_GB2312" w:cs="仿宋_GB2312"/>
          <w:sz w:val="32"/>
          <w:szCs w:val="32"/>
        </w:rPr>
        <w:t>万元，支出决算为2107.64万元，完成年初预算的</w:t>
      </w:r>
      <w:r>
        <w:rPr>
          <w:rFonts w:hint="eastAsia" w:ascii="仿宋_GB2312" w:hAnsi="仿宋_GB2312" w:eastAsia="仿宋_GB2312" w:cs="仿宋_GB2312"/>
          <w:sz w:val="32"/>
          <w:szCs w:val="32"/>
          <w:lang w:val="en-US" w:eastAsia="zh-CN"/>
        </w:rPr>
        <w:t>118.34</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中央、省当年下拨项目资金及上年项目资金结转结余的支出。</w:t>
      </w:r>
    </w:p>
    <w:p w14:paraId="0E7AC37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、卫生健康支出（类）公共卫生（款）卫生监督机构（项）。</w:t>
      </w:r>
    </w:p>
    <w:p w14:paraId="2BEB12E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594.57</w:t>
      </w:r>
      <w:r>
        <w:rPr>
          <w:rFonts w:hint="eastAsia" w:ascii="仿宋_GB2312" w:hAnsi="仿宋_GB2312" w:eastAsia="仿宋_GB2312" w:cs="仿宋_GB2312"/>
          <w:sz w:val="32"/>
          <w:szCs w:val="32"/>
        </w:rPr>
        <w:t>万元，支出决算为642.41万元，完成年初预算的</w:t>
      </w:r>
      <w:r>
        <w:rPr>
          <w:rFonts w:hint="eastAsia" w:ascii="仿宋_GB2312" w:hAnsi="仿宋_GB2312" w:eastAsia="仿宋_GB2312" w:cs="仿宋_GB2312"/>
          <w:sz w:val="32"/>
          <w:szCs w:val="32"/>
          <w:lang w:val="en-US" w:eastAsia="zh-CN"/>
        </w:rPr>
        <w:t>108.05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中央、省当年下拨项目资金及上年项目资金结转结余的支出。</w:t>
      </w:r>
    </w:p>
    <w:p w14:paraId="6BA3A49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、卫生健康支出（类）公共卫生（款）采供血机构（项）。</w:t>
      </w:r>
    </w:p>
    <w:p w14:paraId="2E35D11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9090.9</w:t>
      </w:r>
      <w:r>
        <w:rPr>
          <w:rFonts w:hint="eastAsia" w:ascii="仿宋_GB2312" w:hAnsi="仿宋_GB2312" w:eastAsia="仿宋_GB2312" w:cs="仿宋_GB2312"/>
          <w:sz w:val="32"/>
          <w:szCs w:val="32"/>
        </w:rPr>
        <w:t>万元，支出决算为6834.54万元，完成年初预算的</w:t>
      </w:r>
      <w:r>
        <w:rPr>
          <w:rFonts w:hint="eastAsia" w:ascii="仿宋_GB2312" w:hAnsi="仿宋_GB2312" w:eastAsia="仿宋_GB2312" w:cs="仿宋_GB2312"/>
          <w:sz w:val="32"/>
          <w:szCs w:val="32"/>
          <w:lang w:val="en-US" w:eastAsia="zh-CN"/>
        </w:rPr>
        <w:t>75.18</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市中心血站例行节约，严格控制采供血成本费用。</w:t>
      </w:r>
    </w:p>
    <w:p w14:paraId="0BCBC8D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、卫生健康支出（类）公共卫生（款）基本公共卫生服务（项）。</w:t>
      </w:r>
    </w:p>
    <w:p w14:paraId="2938BA2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万元，支出决算为71.04万元，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0E659C6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、卫生健康支出（类）公共卫生（款）重大公共卫生服务（项）。</w:t>
      </w:r>
    </w:p>
    <w:p w14:paraId="04D935C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万元，支出决算为1381.16万元，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67CA166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、卫生健康支出（类）公共卫生（款）突发公共卫生事件应急处理（项）。</w:t>
      </w:r>
    </w:p>
    <w:p w14:paraId="6EE9555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万元，支出决算为455.91万元，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78A2607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、卫生健康支出（类）公共卫生（款）其他公共卫生支出（项）。</w:t>
      </w:r>
    </w:p>
    <w:p w14:paraId="5C82205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万元，支出决算为550.65万元，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上年度有项目结转资金，且当年度项目延伸到下年，主要为中央和省安排资金。</w:t>
      </w:r>
    </w:p>
    <w:p w14:paraId="3313A7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、卫生健康支出（类）中医药（款）中医（民族医）药专项（项）。</w:t>
      </w:r>
    </w:p>
    <w:p w14:paraId="781725F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万元，支出决算为347.74万元，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，决算数大于年初预算数的主要原因是：中医药</w:t>
      </w:r>
      <w:r>
        <w:rPr>
          <w:rFonts w:hint="eastAsia" w:ascii="仿宋_GB2312" w:hAnsi="仿宋_GB2312" w:eastAsia="仿宋_GB2312" w:cs="仿宋_GB2312"/>
          <w:sz w:val="32"/>
          <w:szCs w:val="32"/>
          <w:lang w:val="en-US" w:eastAsia="zh-CN"/>
        </w:rPr>
        <w:t>事业稳步发展。</w:t>
      </w:r>
    </w:p>
    <w:p w14:paraId="4C30393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、卫生健康支出（类）中医药（款）其他中医药支出（项）。</w:t>
      </w:r>
    </w:p>
    <w:p w14:paraId="285EAE1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万元，支出决算为35万元，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，决算数大于年初预算数的主要原因是：中医药</w:t>
      </w:r>
      <w:r>
        <w:rPr>
          <w:rFonts w:hint="eastAsia" w:ascii="仿宋_GB2312" w:hAnsi="仿宋_GB2312" w:eastAsia="仿宋_GB2312" w:cs="仿宋_GB2312"/>
          <w:sz w:val="32"/>
          <w:szCs w:val="32"/>
          <w:lang w:val="en-US" w:eastAsia="zh-CN"/>
        </w:rPr>
        <w:t>事业稳步发展。</w:t>
      </w:r>
    </w:p>
    <w:p w14:paraId="20B4678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、卫生健康支出（类）计划生育事务（款）计划生育服务（项）。</w:t>
      </w:r>
    </w:p>
    <w:p w14:paraId="6C88B5E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万元，支出决算为0.82万元，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，决算数大于年初预算数的主要原因是：计划生育</w:t>
      </w:r>
      <w:r>
        <w:rPr>
          <w:rFonts w:hint="eastAsia" w:ascii="仿宋_GB2312" w:hAnsi="仿宋_GB2312" w:eastAsia="仿宋_GB2312" w:cs="仿宋_GB2312"/>
          <w:sz w:val="32"/>
          <w:szCs w:val="32"/>
          <w:lang w:val="en-US" w:eastAsia="zh-CN"/>
        </w:rPr>
        <w:t>工作需要。</w:t>
      </w:r>
    </w:p>
    <w:p w14:paraId="7993203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、卫生健康支出（类）计划生育事务（款）其他计划生育事务支出（项）。</w:t>
      </w:r>
    </w:p>
    <w:p w14:paraId="730FDD9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万元，支出决算为103.02万元，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，决算数大于年初预算数的主要原因是：计划生育</w:t>
      </w:r>
      <w:r>
        <w:rPr>
          <w:rFonts w:hint="eastAsia" w:ascii="仿宋_GB2312" w:hAnsi="仿宋_GB2312" w:eastAsia="仿宋_GB2312" w:cs="仿宋_GB2312"/>
          <w:sz w:val="32"/>
          <w:szCs w:val="32"/>
          <w:lang w:val="en-US" w:eastAsia="zh-CN"/>
        </w:rPr>
        <w:t>工作需要。</w:t>
      </w:r>
    </w:p>
    <w:p w14:paraId="2FA5D2A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、卫生健康支出（类）行政事业单位医疗（款）行政单位医疗（项）。</w:t>
      </w:r>
    </w:p>
    <w:p w14:paraId="7BE20B1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107.78</w:t>
      </w:r>
      <w:r>
        <w:rPr>
          <w:rFonts w:hint="eastAsia" w:ascii="仿宋_GB2312" w:hAnsi="仿宋_GB2312" w:eastAsia="仿宋_GB2312" w:cs="仿宋_GB2312"/>
          <w:sz w:val="32"/>
          <w:szCs w:val="32"/>
        </w:rPr>
        <w:t>万元，支出决算为107.78万元，完成年初预算的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7D98847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、卫生健康支出（类）行政事业单位医疗（款）事业单位医疗（项）。</w:t>
      </w:r>
    </w:p>
    <w:p w14:paraId="2C2E441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121.41</w:t>
      </w:r>
      <w:r>
        <w:rPr>
          <w:rFonts w:hint="eastAsia" w:ascii="仿宋_GB2312" w:hAnsi="仿宋_GB2312" w:eastAsia="仿宋_GB2312" w:cs="仿宋_GB2312"/>
          <w:sz w:val="32"/>
          <w:szCs w:val="32"/>
        </w:rPr>
        <w:t>万元，支出决算为121.41万元，完成年初预算的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严格执行年初预算。</w:t>
      </w:r>
    </w:p>
    <w:p w14:paraId="2C46911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、卫生健康支出（类）其他卫生健康支出（款）其他卫生健康支出（项）。</w:t>
      </w:r>
    </w:p>
    <w:p w14:paraId="5548944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万元，支出决算为3525.83万元，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增加医疗公用费用支出等</w:t>
      </w:r>
      <w:r>
        <w:rPr>
          <w:rFonts w:hint="eastAsia" w:ascii="仿宋_GB2312" w:hAnsi="仿宋_GB2312" w:eastAsia="仿宋_GB2312" w:cs="仿宋_GB2312"/>
          <w:sz w:val="32"/>
          <w:szCs w:val="32"/>
          <w:lang w:val="en-US" w:eastAsia="zh-CN"/>
        </w:rPr>
        <w:t>。</w:t>
      </w:r>
    </w:p>
    <w:p w14:paraId="2283E17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、城乡社区支出（类）城乡社区管理事务（款）其他城乡社区管理事务支出（项）。</w:t>
      </w:r>
    </w:p>
    <w:p w14:paraId="61C7456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万元，支出决算为1万元，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本年增加城乡社区规划与管理的支出。</w:t>
      </w:r>
    </w:p>
    <w:p w14:paraId="050DABC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、城乡社区支出（类）城乡社区规划与管理（款）城乡社区规划与管理（项）。</w:t>
      </w:r>
    </w:p>
    <w:p w14:paraId="0AA94AD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万元，支出决算为25.92万元，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，决算数大于年初预算数的主要原因是：本年增加城乡社区规划与管理的支出。</w:t>
      </w:r>
    </w:p>
    <w:p w14:paraId="355A942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rPr>
        <w:t>、住房保障支出（类）住房改革支出（款）住房公积金（项）。</w:t>
      </w:r>
    </w:p>
    <w:p w14:paraId="07F9D4D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493.25</w:t>
      </w:r>
      <w:r>
        <w:rPr>
          <w:rFonts w:hint="eastAsia" w:ascii="仿宋_GB2312" w:hAnsi="仿宋_GB2312" w:eastAsia="仿宋_GB2312" w:cs="仿宋_GB2312"/>
          <w:sz w:val="32"/>
          <w:szCs w:val="32"/>
        </w:rPr>
        <w:t>万元，支出决算为486.51万元，完成年初预算的</w:t>
      </w:r>
      <w:r>
        <w:rPr>
          <w:rFonts w:hint="eastAsia" w:ascii="仿宋_GB2312" w:hAnsi="仿宋_GB2312" w:eastAsia="仿宋_GB2312" w:cs="仿宋_GB2312"/>
          <w:sz w:val="32"/>
          <w:szCs w:val="32"/>
          <w:lang w:val="en-US" w:eastAsia="zh-CN"/>
        </w:rPr>
        <w:t>98.63</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val="en-US" w:eastAsia="zh-CN"/>
        </w:rPr>
        <w:t>年中人员异动。</w:t>
      </w:r>
    </w:p>
    <w:p w14:paraId="0BA3D4C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5F8537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年度财政拨款基本支出16880.22万元，其中：</w:t>
      </w:r>
    </w:p>
    <w:p w14:paraId="10C0608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10203.63万元，占基本支出的</w:t>
      </w:r>
      <w:r>
        <w:rPr>
          <w:rFonts w:hint="eastAsia" w:ascii="仿宋_GB2312" w:hAnsi="仿宋_GB2312" w:eastAsia="仿宋_GB2312" w:cs="仿宋_GB2312"/>
          <w:sz w:val="32"/>
          <w:szCs w:val="32"/>
          <w:lang w:val="en-US" w:eastAsia="zh-CN"/>
        </w:rPr>
        <w:t>60.45</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、绩效工资、养老保险缴费、职业年金缴费、职工基本医疗保险缴费、其他工资福利支出、离休费、退休费、抚恤金、生活补助、医疗费补助、奖励金、其他对个人和家庭的补助等。</w:t>
      </w:r>
    </w:p>
    <w:p w14:paraId="21DC7E7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6676.59万元，占基本支出的</w:t>
      </w:r>
      <w:r>
        <w:rPr>
          <w:rFonts w:hint="eastAsia" w:ascii="仿宋_GB2312" w:hAnsi="仿宋_GB2312" w:eastAsia="仿宋_GB2312" w:cs="仿宋_GB2312"/>
          <w:sz w:val="32"/>
          <w:szCs w:val="32"/>
          <w:lang w:val="en-US" w:eastAsia="zh-CN"/>
        </w:rPr>
        <w:t>39.55</w:t>
      </w:r>
      <w:r>
        <w:rPr>
          <w:rFonts w:hint="eastAsia" w:ascii="仿宋_GB2312" w:hAnsi="仿宋_GB2312" w:eastAsia="仿宋_GB2312" w:cs="仿宋_GB2312"/>
          <w:sz w:val="32"/>
          <w:szCs w:val="32"/>
        </w:rPr>
        <w:t>%，主要包括办公费、印刷费、咨询费、</w:t>
      </w:r>
      <w:r>
        <w:rPr>
          <w:rFonts w:hint="eastAsia" w:ascii="仿宋_GB2312" w:hAnsi="仿宋_GB2312" w:eastAsia="仿宋_GB2312" w:cs="仿宋_GB2312"/>
          <w:sz w:val="32"/>
          <w:szCs w:val="32"/>
          <w:lang w:eastAsia="zh-CN"/>
        </w:rPr>
        <w:t>水电费、邮电费、培训费、差旅费、会议费、维修费、租赁费、公务接待费、委托业务、劳务费、工会经费、公车运行维护费、其他交通费用、其他商品服务支出、办公设备购置、专用设备购置等</w:t>
      </w:r>
      <w:r>
        <w:rPr>
          <w:rFonts w:hint="eastAsia" w:ascii="仿宋_GB2312" w:hAnsi="仿宋_GB2312" w:eastAsia="仿宋_GB2312" w:cs="仿宋_GB2312"/>
          <w:sz w:val="32"/>
          <w:szCs w:val="32"/>
        </w:rPr>
        <w:t>。</w:t>
      </w:r>
    </w:p>
    <w:p w14:paraId="687C292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16FBC76">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万元；支出207万元，其中基本支出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万元，项目支出207万元；年末结转和结余9793万元。具体情况如下：</w:t>
      </w:r>
    </w:p>
    <w:p w14:paraId="41DFA29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1、其他支出（类）其他政府性基金及对应专项债务收入安排的支出（款）其他地方自行试点项目收益专项债券收入安排的支出（项）。</w:t>
      </w:r>
    </w:p>
    <w:p w14:paraId="0AFC6B7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万元，支出决算为207万元，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债券资金必须按进度使用.</w:t>
      </w:r>
    </w:p>
    <w:p w14:paraId="5AD1441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7512D49">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w:t>
      </w:r>
    </w:p>
    <w:p w14:paraId="1BDF8C8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3FA25D7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2B6CC21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“三公”经费财政拨款支出预算为75.72万元，支出决算为71.71万元，完成预算的</w:t>
      </w:r>
      <w:r>
        <w:rPr>
          <w:rFonts w:hint="eastAsia" w:ascii="仿宋_GB2312" w:hAnsi="仿宋_GB2312" w:eastAsia="仿宋_GB2312" w:cs="仿宋_GB2312"/>
          <w:sz w:val="32"/>
          <w:szCs w:val="32"/>
          <w:lang w:val="en-US" w:eastAsia="zh-CN"/>
        </w:rPr>
        <w:t>94.7</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严格控制三公经费使用进度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12.64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21.4</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val="en-US" w:eastAsia="zh-CN"/>
        </w:rPr>
        <w:t>疫情防控政策调整，“三公”经费开支需求增加</w:t>
      </w:r>
      <w:r>
        <w:rPr>
          <w:rFonts w:hint="eastAsia" w:ascii="仿宋_GB2312" w:hAnsi="仿宋_GB2312" w:eastAsia="仿宋_GB2312" w:cs="仿宋_GB2312"/>
          <w:sz w:val="32"/>
          <w:szCs w:val="32"/>
        </w:rPr>
        <w:t>。其中：</w:t>
      </w:r>
    </w:p>
    <w:p w14:paraId="74B7B83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本年未安排因公出国（境）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与上年相比无变化，主要原因是未安排外事出访活动。</w:t>
      </w:r>
    </w:p>
    <w:p w14:paraId="62ADAC9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公务接待费支出预算为4.66万元，支出决算为4.66万元，完成预算的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严格执行年初预算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12.41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控制</w:t>
      </w:r>
      <w:r>
        <w:rPr>
          <w:rFonts w:hint="eastAsia" w:ascii="仿宋_GB2312" w:hAnsi="仿宋_GB2312" w:eastAsia="仿宋_GB2312" w:cs="仿宋_GB2312"/>
          <w:sz w:val="32"/>
          <w:szCs w:val="32"/>
        </w:rPr>
        <w:t>公务接待费。</w:t>
      </w:r>
    </w:p>
    <w:p w14:paraId="3FEAAAF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公务用车购置费支出预算为17.98万元，支出决算为17.98万元，完成预算的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val="en-US" w:eastAsia="zh-CN"/>
        </w:rPr>
        <w:t>严格执行年初预算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17.98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w:t>
      </w:r>
      <w:r>
        <w:rPr>
          <w:rFonts w:hint="eastAsia" w:ascii="仿宋_GB2312" w:hAnsi="仿宋_GB2312" w:eastAsia="仿宋_GB2312" w:cs="仿宋_GB2312"/>
          <w:sz w:val="32"/>
          <w:szCs w:val="32"/>
          <w:lang w:val="en-US" w:eastAsia="zh-CN"/>
        </w:rPr>
        <w:t>上年决算</w:t>
      </w:r>
      <w:r>
        <w:rPr>
          <w:rFonts w:hint="eastAsia" w:ascii="仿宋_GB2312" w:hAnsi="仿宋_GB2312" w:eastAsia="仿宋_GB2312" w:cs="仿宋_GB2312"/>
          <w:sz w:val="32"/>
          <w:szCs w:val="32"/>
          <w:lang w:eastAsia="zh-CN"/>
        </w:rPr>
        <w:t>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,增长的主要</w:t>
      </w:r>
      <w:r>
        <w:rPr>
          <w:rFonts w:hint="eastAsia" w:ascii="仿宋_GB2312" w:hAnsi="仿宋_GB2312" w:eastAsia="仿宋_GB2312" w:cs="仿宋_GB2312"/>
          <w:sz w:val="32"/>
          <w:szCs w:val="32"/>
          <w:lang w:val="en-US" w:eastAsia="zh-CN"/>
        </w:rPr>
        <w:t>原因</w:t>
      </w:r>
      <w:r>
        <w:rPr>
          <w:rFonts w:hint="eastAsia" w:ascii="仿宋_GB2312" w:hAnsi="仿宋_GB2312" w:eastAsia="仿宋_GB2312" w:cs="仿宋_GB2312"/>
          <w:sz w:val="32"/>
          <w:szCs w:val="32"/>
        </w:rPr>
        <w:t>是</w:t>
      </w:r>
      <w:r>
        <w:rPr>
          <w:rFonts w:hint="eastAsia" w:ascii="仿宋_GB2312" w:hAnsi="仿宋_GB2312" w:eastAsia="仿宋_GB2312" w:cs="仿宋_GB2312"/>
          <w:sz w:val="32"/>
          <w:szCs w:val="32"/>
          <w:lang w:val="en-US" w:eastAsia="zh-CN"/>
        </w:rPr>
        <w:t>市中心血站根据机关事务局审批购置采血车1辆。</w:t>
      </w:r>
    </w:p>
    <w:p w14:paraId="1CE81DF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公务用车运行维护费支出预算为53.08万元，支出决算为49.07万元，完成预算的</w:t>
      </w:r>
      <w:r>
        <w:rPr>
          <w:rFonts w:hint="eastAsia" w:ascii="仿宋_GB2312" w:hAnsi="仿宋_GB2312" w:eastAsia="仿宋_GB2312" w:cs="仿宋_GB2312"/>
          <w:sz w:val="32"/>
          <w:szCs w:val="32"/>
          <w:lang w:val="en-US" w:eastAsia="zh-CN"/>
        </w:rPr>
        <w:t>92.45</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val="en-US" w:eastAsia="zh-CN"/>
        </w:rPr>
        <w:t>节约</w:t>
      </w:r>
      <w:r>
        <w:rPr>
          <w:rFonts w:hint="eastAsia" w:ascii="仿宋_GB2312" w:hAnsi="仿宋_GB2312" w:eastAsia="仿宋_GB2312" w:cs="仿宋_GB2312"/>
          <w:sz w:val="32"/>
          <w:szCs w:val="32"/>
        </w:rPr>
        <w:t>公务用车运行维护费，与上年相比减少</w:t>
      </w:r>
      <w:r>
        <w:rPr>
          <w:rFonts w:hint="eastAsia" w:ascii="仿宋_GB2312" w:hAnsi="仿宋_GB2312" w:eastAsia="仿宋_GB2312" w:cs="仿宋_GB2312"/>
          <w:sz w:val="32"/>
          <w:szCs w:val="32"/>
          <w:lang w:val="en-US" w:eastAsia="zh-CN"/>
        </w:rPr>
        <w:t>4.68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8.71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val="en-US" w:eastAsia="zh-CN"/>
        </w:rPr>
        <w:t>建设节约型机关，控制</w:t>
      </w:r>
      <w:r>
        <w:rPr>
          <w:rFonts w:hint="eastAsia" w:ascii="仿宋_GB2312" w:hAnsi="仿宋_GB2312" w:eastAsia="仿宋_GB2312" w:cs="仿宋_GB2312"/>
          <w:sz w:val="32"/>
          <w:szCs w:val="32"/>
        </w:rPr>
        <w:t>公务用车运行维护费。</w:t>
      </w:r>
    </w:p>
    <w:p w14:paraId="2A7979D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4300DB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年度“三公”经费财政拨款支出决算中，公务接待费支出决算4.66万元，占</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%,公务用车购置费及运行维护费支出决算67.05万元，占</w:t>
      </w:r>
      <w:r>
        <w:rPr>
          <w:rFonts w:hint="eastAsia" w:ascii="仿宋_GB2312" w:hAnsi="仿宋_GB2312" w:eastAsia="仿宋_GB2312" w:cs="仿宋_GB2312"/>
          <w:sz w:val="32"/>
          <w:szCs w:val="32"/>
          <w:lang w:val="en-US" w:eastAsia="zh-CN"/>
        </w:rPr>
        <w:t>93.5</w:t>
      </w:r>
      <w:r>
        <w:rPr>
          <w:rFonts w:hint="eastAsia" w:ascii="仿宋_GB2312" w:hAnsi="仿宋_GB2312" w:eastAsia="仿宋_GB2312" w:cs="仿宋_GB2312"/>
          <w:sz w:val="32"/>
          <w:szCs w:val="32"/>
        </w:rPr>
        <w:t>%。其中：</w:t>
      </w:r>
    </w:p>
    <w:p w14:paraId="17A73A3B">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年度无因公出国（境）费支出。</w:t>
      </w:r>
    </w:p>
    <w:p w14:paraId="5DC173B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2、公务接待费支出决算为4.66万元，全年共接待来访团组</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401</w:t>
      </w:r>
      <w:r>
        <w:rPr>
          <w:rFonts w:hint="eastAsia" w:ascii="仿宋_GB2312" w:hAnsi="仿宋_GB2312" w:eastAsia="仿宋_GB2312" w:cs="仿宋_GB2312"/>
          <w:sz w:val="32"/>
          <w:szCs w:val="32"/>
        </w:rPr>
        <w:t>人次，主要是</w:t>
      </w:r>
      <w:r>
        <w:rPr>
          <w:rFonts w:hint="eastAsia" w:ascii="仿宋_GB2312" w:hAnsi="仿宋_GB2312" w:eastAsia="仿宋_GB2312" w:cs="仿宋_GB2312"/>
          <w:sz w:val="32"/>
          <w:szCs w:val="32"/>
          <w:lang w:val="en-US" w:eastAsia="zh-CN"/>
        </w:rPr>
        <w:t>省内卫健系统业务工作</w:t>
      </w:r>
      <w:r>
        <w:rPr>
          <w:rFonts w:hint="eastAsia" w:ascii="仿宋_GB2312" w:hAnsi="仿宋_GB2312" w:eastAsia="仿宋_GB2312" w:cs="仿宋_GB2312"/>
          <w:sz w:val="32"/>
          <w:szCs w:val="32"/>
        </w:rPr>
        <w:t>发生的接待支出。</w:t>
      </w:r>
    </w:p>
    <w:p w14:paraId="5034C179">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3、公务用车购置费及运行维护费支出决算为67.05万元，其中：公务用车购置费17.98万元，</w:t>
      </w:r>
      <w:r>
        <w:rPr>
          <w:rFonts w:hint="eastAsia" w:ascii="仿宋_GB2312" w:hAnsi="仿宋_GB2312" w:eastAsia="仿宋_GB2312" w:cs="仿宋_GB2312"/>
          <w:sz w:val="32"/>
          <w:szCs w:val="32"/>
          <w:lang w:val="en-US" w:eastAsia="zh-CN"/>
        </w:rPr>
        <w:t>岳阳市中心血站</w:t>
      </w:r>
      <w:r>
        <w:rPr>
          <w:rFonts w:hint="eastAsia" w:ascii="仿宋_GB2312" w:hAnsi="仿宋_GB2312" w:eastAsia="仿宋_GB2312" w:cs="仿宋_GB2312"/>
          <w:sz w:val="32"/>
          <w:szCs w:val="32"/>
        </w:rPr>
        <w:t>更新公务用车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公务用车运行维护费49.07万元，主要是</w:t>
      </w:r>
      <w:r>
        <w:rPr>
          <w:rFonts w:hint="eastAsia" w:ascii="仿宋_GB2312" w:hAnsi="仿宋_GB2312" w:eastAsia="仿宋_GB2312" w:cs="仿宋_GB2312"/>
          <w:sz w:val="32"/>
          <w:szCs w:val="32"/>
          <w:lang w:val="en-US" w:eastAsia="zh-CN"/>
        </w:rPr>
        <w:t>公务用车维护</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辆。</w:t>
      </w:r>
    </w:p>
    <w:p w14:paraId="73DDBC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50BA6E36">
      <w:pPr>
        <w:keepNext w:val="0"/>
        <w:keepLines w:val="0"/>
        <w:pageBreakBefore w:val="0"/>
        <w:kinsoku/>
        <w:wordWrap/>
        <w:overflowPunct/>
        <w:topLinePunct w:val="0"/>
        <w:autoSpaceDE/>
        <w:autoSpaceDN/>
        <w:bidi w:val="0"/>
        <w:snapToGrid w:val="0"/>
        <w:spacing w:line="58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年度机关运行经费支出6676.59万元，比上年决算数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225.3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3.26</w:t>
      </w:r>
      <w:r>
        <w:rPr>
          <w:rFonts w:hint="eastAsia" w:ascii="仿宋_GB2312" w:hAnsi="仿宋_GB2312" w:eastAsia="仿宋_GB2312" w:cs="仿宋_GB2312"/>
          <w:sz w:val="32"/>
          <w:szCs w:val="32"/>
        </w:rPr>
        <w:t>%。主要原因是：</w:t>
      </w:r>
      <w:r>
        <w:rPr>
          <w:rFonts w:hint="eastAsia" w:ascii="仿宋_GB2312" w:hAnsi="仿宋" w:eastAsia="仿宋_GB2312" w:cs="Times New Roman"/>
          <w:sz w:val="32"/>
          <w:szCs w:val="32"/>
          <w:lang w:val="en-US" w:eastAsia="zh-CN"/>
        </w:rPr>
        <w:t>2023年商品和服务支出较上年稍微减少。</w:t>
      </w:r>
    </w:p>
    <w:p w14:paraId="6654304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11B5A9B5">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年度，会议费年初预算5.5万元，支出决算为1.61万元，完成年初预算的29.27%。用于召</w:t>
      </w:r>
      <w:r>
        <w:rPr>
          <w:rFonts w:hint="eastAsia" w:ascii="仿宋_GB2312" w:hAnsi="仿宋_GB2312" w:eastAsia="仿宋_GB2312" w:cs="仿宋_GB2312"/>
          <w:color w:val="auto"/>
          <w:kern w:val="2"/>
          <w:sz w:val="32"/>
          <w:szCs w:val="32"/>
          <w:lang w:val="en-US" w:eastAsia="zh-CN" w:bidi="ar-SA"/>
        </w:rPr>
        <w:t>开市卫生健康相关工作</w:t>
      </w:r>
      <w:r>
        <w:rPr>
          <w:rFonts w:hint="eastAsia" w:ascii="仿宋_GB2312" w:hAnsi="仿宋_GB2312" w:eastAsia="仿宋_GB2312" w:cs="仿宋_GB2312"/>
          <w:sz w:val="32"/>
          <w:szCs w:val="32"/>
          <w:lang w:val="en-US" w:eastAsia="zh-CN"/>
        </w:rPr>
        <w:t>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2011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，内容为全市卫生健康工作会议、各业务科室开展年度工作布置会议、半年工作汇报会，免疫规划工作会议等。</w:t>
      </w:r>
    </w:p>
    <w:p w14:paraId="466F5256">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5.8万元，支出决算为5.31万元，完成年初预算的91.55%。用于开展市卫生健康相关技能培训，人数3062人，内容为开展全市应急防控演练培训、全市卫生计生综合监督执法培训、各医疗机构开展规培医生、住院医师培训、临床输血培训、志愿者宣传招募培训，岳阳市妇女保健工作例会暨“两癌”、孕前优生、乡镇卫生院及社区骨干人员培训开支、基层医疗人员培训等。</w:t>
      </w:r>
    </w:p>
    <w:p w14:paraId="4C8C4286">
      <w:pPr>
        <w:widowControl w:val="0"/>
        <w:autoSpaceDE w:val="0"/>
        <w:autoSpaceDN w:val="0"/>
        <w:adjustRightInd w:val="0"/>
        <w:ind w:firstLine="640" w:firstLineChars="200"/>
        <w:rPr>
          <w:rFonts w:hint="default"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举办节庆、晚会、论坛、赛事活动年初预算0万元，支出决算为0万元，本单位无举办节庆、晚会、论坛、赛事等活动的预算和支出决算数。</w:t>
      </w:r>
    </w:p>
    <w:p w14:paraId="7CF6D76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5884A6B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年度政府采购支出总额69455.87万元，其中：政府采购货物支出41007.58万元、政府采购工程支出21359.42万元、政府采购服务支出7088.87万元。授予中小企业合同金额14849.72万元，占政府采购支出总额的</w:t>
      </w:r>
      <w:r>
        <w:rPr>
          <w:rFonts w:hint="eastAsia" w:ascii="仿宋_GB2312" w:hAnsi="仿宋_GB2312" w:eastAsia="仿宋_GB2312" w:cs="仿宋_GB2312"/>
          <w:sz w:val="32"/>
          <w:szCs w:val="32"/>
          <w:lang w:val="en-US" w:eastAsia="zh-CN"/>
        </w:rPr>
        <w:t>21.38</w:t>
      </w:r>
      <w:r>
        <w:rPr>
          <w:rFonts w:hint="eastAsia" w:ascii="仿宋_GB2312" w:hAnsi="仿宋_GB2312" w:eastAsia="仿宋_GB2312" w:cs="仿宋_GB2312"/>
          <w:sz w:val="32"/>
          <w:szCs w:val="32"/>
        </w:rPr>
        <w:t>%，其中：授予小微企业合同金额10093.36万元，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67.97</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36.21</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14:paraId="0BB0E9B8">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60D9AF0">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74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救护车、采供血业务用车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321</w:t>
      </w:r>
      <w:r>
        <w:rPr>
          <w:rFonts w:hint="eastAsia" w:ascii="仿宋_GB2312" w:hAnsi="仿宋_GB2312" w:eastAsia="仿宋_GB2312" w:cs="仿宋_GB2312"/>
          <w:color w:val="auto"/>
          <w:sz w:val="32"/>
          <w:szCs w:val="32"/>
        </w:rPr>
        <w:t>台（套）。</w:t>
      </w:r>
    </w:p>
    <w:p w14:paraId="1A549EF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9C904A4">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3B8F18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3AB0D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38759.66万元，政府性基金预算支出207万元，国有资本经营预算支出0万元。从评价情况来看，整体支出绩效评价中，2023年整体支出393427.61万元，其中：基本支出362176.84万元，项目支出31250.77万元，本单位整体支出绩效自评综合评分99分，评价结果等次为优秀。</w:t>
      </w:r>
    </w:p>
    <w:p w14:paraId="63727A4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组织对一般公共预算项目支出全面开展绩效自评，项目19个，共涉及资金4882.47元，占一般公共预算项目支出总额的22.32%。组织对政府性基金预算项目支出开展绩效自评，项目1个，共涉及资金2</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07万元，占政府性基金预算项目支出总额的100%。组织对国有资本经营预算项目支出开展绩效自评，项目0个，共涉及资金0万元，</w:t>
      </w:r>
      <w:r>
        <w:rPr>
          <w:rFonts w:hint="eastAsia" w:ascii="仿宋_GB2312" w:hAnsi="仿宋_GB2312" w:eastAsia="仿宋_GB2312" w:cs="仿宋_GB2312"/>
          <w:sz w:val="32"/>
          <w:szCs w:val="32"/>
          <w:lang w:eastAsia="zh-CN"/>
        </w:rPr>
        <w:t>由于</w:t>
      </w:r>
      <w:r>
        <w:rPr>
          <w:rFonts w:hint="eastAsia" w:ascii="仿宋_GB2312" w:hAnsi="仿宋_GB2312" w:eastAsia="仿宋_GB2312" w:cs="仿宋_GB2312"/>
          <w:b w:val="0"/>
          <w:bCs w:val="0"/>
          <w:color w:val="000000"/>
          <w:kern w:val="0"/>
          <w:sz w:val="32"/>
          <w:szCs w:val="32"/>
          <w:lang w:val="en-US" w:eastAsia="zh-CN" w:bidi="ar-SA"/>
        </w:rPr>
        <w:t>国有资本经营预算支出</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b w:val="0"/>
          <w:bCs w:val="0"/>
          <w:color w:val="000000"/>
          <w:kern w:val="0"/>
          <w:sz w:val="32"/>
          <w:szCs w:val="32"/>
          <w:lang w:val="en-US" w:eastAsia="zh-CN" w:bidi="ar-SA"/>
        </w:rPr>
        <w:t>万元</w:t>
      </w:r>
      <w:r>
        <w:rPr>
          <w:rFonts w:hint="eastAsia" w:ascii="仿宋_GB2312" w:hAnsi="仿宋_GB2312" w:eastAsia="仿宋_GB2312" w:cs="仿宋_GB2312"/>
          <w:sz w:val="32"/>
          <w:szCs w:val="32"/>
          <w:lang w:val="en-US" w:eastAsia="zh-CN"/>
        </w:rPr>
        <w:t>，无法计算百分比</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。从评价情况来看，项目绩效自评得分99分，评价结果等次为优。</w:t>
      </w:r>
    </w:p>
    <w:p w14:paraId="32E196E4">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1FAB84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98分。全年预算数为115679.62万元，执行数为107147.49万元，完成预算的92.62%。绩效目标完成情况：一是持续深化卫生健康服务供给侧结构性改革。推进分级诊疗；二是加强公立医院管理；三是扎实做好公共卫生和重大疾病防控工作。为群众提供14类基本公共卫生服务，完善疾病预防控制体系和保障机制；四是增强优质医疗服务资源供给能力。打造一批在全省有影响力的专科（技术）品牌；五是推动构建网格化、整合型医疗服务模式。</w:t>
      </w:r>
    </w:p>
    <w:p w14:paraId="676E66FA">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7C6C0C2">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发现的主要问题及原因：一是部分项目预算约束性不够；二是部分项目预算执行进度偏慢。下一步改进措施：一是细化预算编制，优化预算项目设置；二是强化预算约束，实行项目进度动态管理。</w:t>
      </w:r>
    </w:p>
    <w:p w14:paraId="5DA7DE4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848E94D">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6381268">
      <w:pPr>
        <w:numPr>
          <w:ilvl w:val="0"/>
          <w:numId w:val="0"/>
        </w:numPr>
        <w:autoSpaceDE w:val="0"/>
        <w:autoSpaceDN w:val="0"/>
        <w:adjustRightInd w:val="0"/>
        <w:jc w:val="left"/>
        <w:rPr>
          <w:sz w:val="72"/>
          <w:szCs w:val="72"/>
        </w:rPr>
      </w:pPr>
    </w:p>
    <w:p w14:paraId="6BB25D3E">
      <w:pPr>
        <w:pStyle w:val="14"/>
        <w:jc w:val="center"/>
        <w:rPr>
          <w:rFonts w:hint="eastAsia" w:ascii="方正小标宋_GBK" w:hAnsi="方正小标宋_GBK" w:eastAsia="方正小标宋_GBK" w:cs="方正小标宋_GBK"/>
          <w:sz w:val="70"/>
          <w:szCs w:val="70"/>
          <w:lang w:eastAsia="zh-CN"/>
        </w:rPr>
      </w:pPr>
    </w:p>
    <w:p w14:paraId="2A3CDE82">
      <w:pPr>
        <w:pStyle w:val="14"/>
        <w:jc w:val="center"/>
        <w:rPr>
          <w:rFonts w:hint="eastAsia" w:ascii="方正小标宋_GBK" w:hAnsi="方正小标宋_GBK" w:eastAsia="方正小标宋_GBK" w:cs="方正小标宋_GBK"/>
          <w:sz w:val="70"/>
          <w:szCs w:val="70"/>
          <w:lang w:eastAsia="zh-CN"/>
        </w:rPr>
      </w:pPr>
    </w:p>
    <w:p w14:paraId="0006B2FD">
      <w:pPr>
        <w:pStyle w:val="14"/>
        <w:jc w:val="center"/>
        <w:rPr>
          <w:rFonts w:hint="eastAsia" w:ascii="方正小标宋_GBK" w:hAnsi="方正小标宋_GBK" w:eastAsia="方正小标宋_GBK" w:cs="方正小标宋_GBK"/>
          <w:sz w:val="72"/>
          <w:szCs w:val="72"/>
        </w:rPr>
      </w:pPr>
    </w:p>
    <w:p w14:paraId="33251B43">
      <w:pPr>
        <w:pStyle w:val="14"/>
        <w:jc w:val="center"/>
        <w:rPr>
          <w:rFonts w:hint="eastAsia" w:ascii="方正小标宋_GBK" w:hAnsi="方正小标宋_GBK" w:eastAsia="方正小标宋_GBK" w:cs="方正小标宋_GBK"/>
          <w:sz w:val="72"/>
          <w:szCs w:val="72"/>
        </w:rPr>
      </w:pPr>
    </w:p>
    <w:p w14:paraId="639B7455">
      <w:pPr>
        <w:pStyle w:val="14"/>
        <w:jc w:val="center"/>
        <w:rPr>
          <w:rFonts w:hint="eastAsia" w:ascii="方正小标宋_GBK" w:hAnsi="方正小标宋_GBK" w:eastAsia="方正小标宋_GBK" w:cs="方正小标宋_GBK"/>
          <w:sz w:val="72"/>
          <w:szCs w:val="72"/>
        </w:rPr>
      </w:pPr>
    </w:p>
    <w:p w14:paraId="7AB59526">
      <w:pPr>
        <w:pStyle w:val="14"/>
        <w:jc w:val="center"/>
        <w:rPr>
          <w:rFonts w:hint="eastAsia" w:ascii="方正小标宋_GBK" w:hAnsi="方正小标宋_GBK" w:eastAsia="方正小标宋_GBK" w:cs="方正小标宋_GBK"/>
          <w:sz w:val="72"/>
          <w:szCs w:val="72"/>
        </w:rPr>
      </w:pPr>
    </w:p>
    <w:p w14:paraId="1DBC5689">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6A29BD9F">
      <w:pPr>
        <w:jc w:val="center"/>
        <w:rPr>
          <w:rFonts w:hint="eastAsia" w:ascii="方正小标宋_GBK" w:hAnsi="方正小标宋_GBK" w:eastAsia="方正小标宋_GBK" w:cs="方正小标宋_GBK"/>
          <w:color w:val="000000"/>
          <w:kern w:val="0"/>
          <w:sz w:val="70"/>
          <w:szCs w:val="70"/>
        </w:rPr>
      </w:pPr>
    </w:p>
    <w:p w14:paraId="11CE4DED">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1408955B">
      <w:pPr>
        <w:pStyle w:val="7"/>
      </w:pPr>
    </w:p>
    <w:p w14:paraId="78B38469">
      <w:pPr>
        <w:pStyle w:val="8"/>
      </w:pPr>
    </w:p>
    <w:p w14:paraId="4C1AC1B0"/>
    <w:p w14:paraId="6190CEF2">
      <w:pPr>
        <w:pStyle w:val="7"/>
      </w:pPr>
    </w:p>
    <w:p w14:paraId="1088D4A6">
      <w:pPr>
        <w:pStyle w:val="8"/>
      </w:pPr>
    </w:p>
    <w:p w14:paraId="456363AD"/>
    <w:p w14:paraId="6D32A4FF">
      <w:pPr>
        <w:pStyle w:val="7"/>
      </w:pPr>
    </w:p>
    <w:p w14:paraId="6D86229D">
      <w:pPr>
        <w:pStyle w:val="8"/>
      </w:pPr>
    </w:p>
    <w:p w14:paraId="54970112"/>
    <w:p w14:paraId="5011D15B">
      <w:pPr>
        <w:pStyle w:val="7"/>
      </w:pPr>
    </w:p>
    <w:p w14:paraId="688B8C33">
      <w:pPr>
        <w:pStyle w:val="8"/>
      </w:pPr>
    </w:p>
    <w:p w14:paraId="3E6DF2EF"/>
    <w:p w14:paraId="584C64CD">
      <w:pPr>
        <w:pStyle w:val="7"/>
      </w:pPr>
    </w:p>
    <w:p w14:paraId="279194D7">
      <w:pPr>
        <w:pStyle w:val="8"/>
      </w:pPr>
    </w:p>
    <w:p w14:paraId="365B06F1"/>
    <w:p w14:paraId="458C6CA0">
      <w:pPr>
        <w:pStyle w:val="7"/>
      </w:pPr>
    </w:p>
    <w:p w14:paraId="693D295F">
      <w:pPr>
        <w:pStyle w:val="8"/>
      </w:pPr>
    </w:p>
    <w:p w14:paraId="4AF3586E"/>
    <w:p w14:paraId="4D6E8E85">
      <w:pPr>
        <w:pStyle w:val="7"/>
      </w:pPr>
    </w:p>
    <w:p w14:paraId="18B7425C">
      <w:pPr>
        <w:pStyle w:val="8"/>
      </w:pPr>
    </w:p>
    <w:p w14:paraId="0CA2561E"/>
    <w:p w14:paraId="08715B72">
      <w:pPr>
        <w:pStyle w:val="7"/>
      </w:pPr>
    </w:p>
    <w:p w14:paraId="47B54B03">
      <w:pPr>
        <w:pStyle w:val="8"/>
      </w:pPr>
    </w:p>
    <w:p w14:paraId="4C55074A"/>
    <w:p w14:paraId="7A999DF1">
      <w:pPr>
        <w:pStyle w:val="7"/>
      </w:pPr>
    </w:p>
    <w:p w14:paraId="0C7222F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63B251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2828FE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417AA3B3">
      <w:pPr>
        <w:pStyle w:val="14"/>
        <w:jc w:val="center"/>
        <w:rPr>
          <w:rFonts w:hint="eastAsia" w:ascii="仿宋_GB2312" w:hAnsi="仿宋_GB2312" w:eastAsia="仿宋_GB2312" w:cs="仿宋_GB2312"/>
          <w:sz w:val="32"/>
          <w:szCs w:val="32"/>
        </w:rPr>
      </w:pPr>
    </w:p>
    <w:p w14:paraId="712ED35A">
      <w:pPr>
        <w:pStyle w:val="8"/>
      </w:pPr>
    </w:p>
    <w:p w14:paraId="78F83BFF"/>
    <w:p w14:paraId="430F679E">
      <w:pPr>
        <w:pStyle w:val="7"/>
      </w:pPr>
    </w:p>
    <w:p w14:paraId="159FE332">
      <w:pPr>
        <w:pStyle w:val="8"/>
      </w:pPr>
    </w:p>
    <w:p w14:paraId="0723E193"/>
    <w:p w14:paraId="1026BCDD">
      <w:pPr>
        <w:pStyle w:val="7"/>
      </w:pPr>
    </w:p>
    <w:p w14:paraId="30FC0390">
      <w:pPr>
        <w:pStyle w:val="8"/>
      </w:pPr>
    </w:p>
    <w:p w14:paraId="452D8E63"/>
    <w:p w14:paraId="236441FC">
      <w:pPr>
        <w:pStyle w:val="7"/>
      </w:pPr>
    </w:p>
    <w:p w14:paraId="27510EB9">
      <w:pPr>
        <w:pStyle w:val="8"/>
      </w:pPr>
    </w:p>
    <w:p w14:paraId="414DF5FA"/>
    <w:p w14:paraId="7FFEBAFA">
      <w:pPr>
        <w:pStyle w:val="7"/>
      </w:pPr>
    </w:p>
    <w:p w14:paraId="77319F1E">
      <w:pPr>
        <w:pStyle w:val="8"/>
      </w:pPr>
    </w:p>
    <w:p w14:paraId="4138BB52"/>
    <w:p w14:paraId="26A1E58F">
      <w:pPr>
        <w:pStyle w:val="7"/>
      </w:pPr>
    </w:p>
    <w:p w14:paraId="3B896D75">
      <w:pPr>
        <w:pStyle w:val="8"/>
      </w:pPr>
    </w:p>
    <w:p w14:paraId="2BA53E3C">
      <w:pPr>
        <w:pStyle w:val="14"/>
        <w:jc w:val="center"/>
        <w:rPr>
          <w:rFonts w:hint="eastAsia" w:ascii="方正小标宋_GBK" w:hAnsi="方正小标宋_GBK" w:eastAsia="方正小标宋_GBK" w:cs="方正小标宋_GBK"/>
          <w:sz w:val="72"/>
          <w:szCs w:val="72"/>
        </w:rPr>
      </w:pPr>
    </w:p>
    <w:p w14:paraId="575A3833">
      <w:pPr>
        <w:pStyle w:val="14"/>
        <w:jc w:val="center"/>
        <w:rPr>
          <w:rFonts w:hint="eastAsia" w:ascii="方正小标宋_GBK" w:hAnsi="方正小标宋_GBK" w:eastAsia="方正小标宋_GBK" w:cs="方正小标宋_GBK"/>
          <w:sz w:val="72"/>
          <w:szCs w:val="72"/>
        </w:rPr>
      </w:pPr>
    </w:p>
    <w:p w14:paraId="40C97641">
      <w:pPr>
        <w:pStyle w:val="14"/>
        <w:jc w:val="center"/>
        <w:rPr>
          <w:rFonts w:hint="eastAsia" w:ascii="方正小标宋_GBK" w:hAnsi="方正小标宋_GBK" w:eastAsia="方正小标宋_GBK" w:cs="方正小标宋_GBK"/>
          <w:sz w:val="72"/>
          <w:szCs w:val="72"/>
        </w:rPr>
      </w:pPr>
    </w:p>
    <w:p w14:paraId="45C58F72">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6EC0986">
      <w:pPr>
        <w:pStyle w:val="14"/>
        <w:jc w:val="both"/>
        <w:rPr>
          <w:rFonts w:hint="eastAsia" w:ascii="方正小标宋_GBK" w:hAnsi="方正小标宋_GBK" w:eastAsia="方正小标宋_GBK" w:cs="方正小标宋_GBK"/>
          <w:sz w:val="70"/>
          <w:szCs w:val="70"/>
          <w:lang w:eastAsia="zh-CN"/>
        </w:rPr>
      </w:pPr>
    </w:p>
    <w:p w14:paraId="00FF66C4">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5D1A30AE">
      <w:pPr>
        <w:ind w:firstLine="640" w:firstLineChars="200"/>
        <w:jc w:val="left"/>
        <w:rPr>
          <w:rFonts w:hint="eastAsia" w:ascii="宋体" w:hAnsi="宋体" w:eastAsia="宋体" w:cs="黑体"/>
          <w:b/>
          <w:color w:val="000000"/>
          <w:kern w:val="0"/>
          <w:sz w:val="32"/>
          <w:szCs w:val="32"/>
          <w:lang w:val="en-US" w:eastAsia="zh-CN"/>
        </w:rPr>
      </w:pPr>
    </w:p>
    <w:p w14:paraId="4F0F0F5B">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B4AFF44">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0368BF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BC5B1A"/>
    <w:rsid w:val="056D7C83"/>
    <w:rsid w:val="059958AD"/>
    <w:rsid w:val="0E450F2B"/>
    <w:rsid w:val="12583BA5"/>
    <w:rsid w:val="13BA5B9C"/>
    <w:rsid w:val="1D97DEFF"/>
    <w:rsid w:val="1DFF72E5"/>
    <w:rsid w:val="1EFC6F07"/>
    <w:rsid w:val="22AC03C2"/>
    <w:rsid w:val="261C210D"/>
    <w:rsid w:val="2D7568AB"/>
    <w:rsid w:val="2DB95A2E"/>
    <w:rsid w:val="2FDF85B8"/>
    <w:rsid w:val="2FFFEE04"/>
    <w:rsid w:val="31C95635"/>
    <w:rsid w:val="34DF85B0"/>
    <w:rsid w:val="3B8F36BC"/>
    <w:rsid w:val="450C3C1A"/>
    <w:rsid w:val="491FF225"/>
    <w:rsid w:val="4FFD214C"/>
    <w:rsid w:val="5352765A"/>
    <w:rsid w:val="546D5D5C"/>
    <w:rsid w:val="56D51DFD"/>
    <w:rsid w:val="5777D4F5"/>
    <w:rsid w:val="59DD8326"/>
    <w:rsid w:val="5DEF592A"/>
    <w:rsid w:val="5FC6BB1E"/>
    <w:rsid w:val="5FF720F1"/>
    <w:rsid w:val="625D49FB"/>
    <w:rsid w:val="67FF5C0B"/>
    <w:rsid w:val="6BAA4A2F"/>
    <w:rsid w:val="6EFC0924"/>
    <w:rsid w:val="6FB74722"/>
    <w:rsid w:val="6FEF8B7E"/>
    <w:rsid w:val="71A6591B"/>
    <w:rsid w:val="737D59BA"/>
    <w:rsid w:val="737F32B1"/>
    <w:rsid w:val="77C37683"/>
    <w:rsid w:val="79FF515B"/>
    <w:rsid w:val="7B9F5CCE"/>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spacing w:line="0" w:lineRule="atLeast"/>
      <w:jc w:val="center"/>
    </w:pPr>
    <w:rPr>
      <w:rFonts w:ascii="Arial" w:hAnsi="Arial" w:eastAsia="黑体"/>
      <w:sz w:val="52"/>
    </w:rPr>
  </w:style>
  <w:style w:type="paragraph" w:styleId="3">
    <w:name w:val="Body Text Indent"/>
    <w:basedOn w:val="1"/>
    <w:next w:val="1"/>
    <w:unhideWhenUsed/>
    <w:qFormat/>
    <w:uiPriority w:val="99"/>
    <w:pPr>
      <w:widowControl/>
      <w:spacing w:after="120"/>
      <w:ind w:left="420" w:leftChars="200"/>
      <w:jc w:val="left"/>
    </w:pPr>
    <w:rPr>
      <w:rFonts w:ascii="宋体" w:hAnsi="宋体" w:eastAsia="宋体" w:cs="宋体"/>
      <w:kern w:val="0"/>
      <w:sz w:val="24"/>
    </w:r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8"/>
    <w:semiHidden/>
    <w:qFormat/>
    <w:uiPriority w:val="0"/>
    <w:pPr>
      <w:snapToGrid w:val="0"/>
      <w:jc w:val="left"/>
    </w:pPr>
    <w:rPr>
      <w:sz w:val="18"/>
      <w:szCs w:val="18"/>
    </w:rPr>
  </w:style>
  <w:style w:type="paragraph" w:styleId="8">
    <w:name w:val="Body Text First Indent 2"/>
    <w:basedOn w:val="3"/>
    <w:next w:val="1"/>
    <w:unhideWhenUsed/>
    <w:qFormat/>
    <w:uiPriority w:val="99"/>
    <w:pPr>
      <w:ind w:firstLine="420" w:firstLineChars="200"/>
    </w:p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customStyle="1" w:styleId="12">
    <w:name w:val="页眉 Char"/>
    <w:basedOn w:val="11"/>
    <w:link w:val="6"/>
    <w:qFormat/>
    <w:uiPriority w:val="99"/>
    <w:rPr>
      <w:sz w:val="18"/>
      <w:szCs w:val="18"/>
    </w:rPr>
  </w:style>
  <w:style w:type="character" w:customStyle="1" w:styleId="13">
    <w:name w:val="页脚 Char"/>
    <w:basedOn w:val="11"/>
    <w:link w:val="5"/>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4"/>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41</Words>
  <Characters>44</Characters>
  <Lines>63</Lines>
  <Paragraphs>18</Paragraphs>
  <TotalTime>107</TotalTime>
  <ScaleCrop>false</ScaleCrop>
  <LinksUpToDate>false</LinksUpToDate>
  <CharactersWithSpaces>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张洵</cp:lastModifiedBy>
  <cp:lastPrinted>2024-08-08T10:20:00Z</cp:lastPrinted>
  <dcterms:modified xsi:type="dcterms:W3CDTF">2025-11-19T02:20:22Z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98623D6660B449428EB8E073C6C952EA</vt:lpwstr>
  </property>
  <property fmtid="{D5CDD505-2E9C-101B-9397-08002B2CF9AE}" pid="4" name="KSOTemplateDocerSaveRecord">
    <vt:lpwstr>eyJoZGlkIjoiZDJjMThkODIwMThiYjViYzljNmVjZDMzYjI5YzA5OTEiLCJ1c2VySWQiOiIzNDM3Njg5MjkifQ==</vt:lpwstr>
  </property>
</Properties>
</file>