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both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both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岳阳市妇幼保健院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（单位）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sz w:val="32"/>
          <w:szCs w:val="32"/>
          <w:highlight w:val="none"/>
          <w:lang w:val="en-US"/>
        </w:rPr>
        <w:t>202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  <w:lang w:val="en-US"/>
        </w:rPr>
        <w:t>6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26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岳阳市妇幼保健院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（单位）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" w:firstLine="640" w:firstLineChars="200"/>
        <w:textAlignment w:val="auto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岳阳市妇幼保健院始建于1964年，是一所集预防、保健、医疗、教学、科研、康复于一体的三级甲等妇幼保健院。医院下设二级机构“岳阳市儿童医院”、“岳阳市生殖与遗传专科医院”。由岳阳市卫生健康委员会举办，经岳阳市事业登记管理局批准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。主要职能包括：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" w:firstLine="640" w:firstLineChars="200"/>
        <w:textAlignment w:val="auto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  <w:lang w:eastAsia="zh-CN"/>
        </w:rPr>
        <w:t>（1）负责指导全市妇幼保健工作，指导乡镇卫生院产科建设，开展社区卫生服务。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" w:firstLine="640" w:firstLineChars="200"/>
        <w:textAlignment w:val="auto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  <w:lang w:eastAsia="zh-CN"/>
        </w:rPr>
        <w:t>（2）负责全市妇幼卫生干部培训工作。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" w:firstLine="640" w:firstLineChars="200"/>
        <w:textAlignment w:val="auto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  <w:lang w:eastAsia="zh-CN"/>
        </w:rPr>
        <w:t>（3）负责贯彻执行《母婴保健法》，开展母婴保健服务技术指导工作。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" w:firstLine="640" w:firstLineChars="200"/>
        <w:textAlignment w:val="auto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  <w:lang w:eastAsia="zh-CN"/>
        </w:rPr>
        <w:t>（4）负责全市孕产妇急救服务工作。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" w:firstLine="640" w:firstLineChars="200"/>
        <w:textAlignment w:val="auto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  <w:lang w:eastAsia="zh-CN"/>
        </w:rPr>
        <w:t>（5）负责全市妇幼卫生信息统计分析。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" w:firstLine="640" w:firstLineChars="200"/>
        <w:textAlignment w:val="auto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  <w:lang w:eastAsia="zh-CN"/>
        </w:rPr>
        <w:t>（6）负责全市爱婴医院创建、医疗、科研、健康教育等工作。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" w:firstLine="640" w:firstLineChars="200"/>
        <w:textAlignment w:val="auto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  <w:lang w:eastAsia="zh-CN"/>
        </w:rPr>
        <w:t>（7）协助卫生行政部门制定全市妇幼卫生工作规划并组织实施，提高出生人口素质以及全民族身体素质。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"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医院现有职工920人，其中卫生技术人员800人，副高以上职称148人（其中正高27人，副高121人），有博士研究生5人（其中博士后3人）、硕士研究生72人，岳阳市首席专家4人，享受湖南省政府特殊津贴专家1人，湖南省名老中医1人，岳阳市名医8人，享受岳阳市政府特殊津贴专家4人，教授8人，硕士研究生导师7人，博士研究生导师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" w:firstLine="640" w:firstLineChars="200"/>
        <w:textAlignment w:val="auto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临床保健科室包括产科、新生儿科、儿童保健科、儿科、妇科、妇女保健科、生殖医学中心、小儿外科、泌尿外科、乳甲外科、急诊科、麻醉科、检验科、医学遗传科、功能科、病理科、门诊部、手术室、体检中心等，职能科室包括财务部、党办、办公室、组织人事部、医务部、护理部、医学装备部、医疗保险部、科教科、后勤服务部、药学办、院感科等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基本支出1780万元，其中，一般公共预算财政拨款支出1780万元。无政府性基金预算支出、国有资本经营预算支出、社会保险基金预算支出。人员支出1756.77万元，公用支出23.23万元，其中：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工资福利支出1642.89万元，主要包括在职人员基本工资、津补贴、绩效工资、基本养老保险、基本医疗保险、工伤保险和住房公积金。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商品和服务支出23.23万元，主要包括专用材料费、工会经费和其他商品和服务支出等。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对个人和家庭补助支出113.88万元，主要包括离休费、退休费、生活补助、其他对个人和家庭的补助。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项目支出情况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1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项目支出1302.22万元，一般公共预算财政拨款支出1302.22万元。无政府性基金预算支出、国有资本经营预算支出、社会保险基金预算支出。其中：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9" w:leftChars="0" w:firstLine="641" w:firstLineChars="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商品和服务支出340.92万元，主要包括办公费、印刷费、差旅费、维修（护）费、培训费、专用材料费、劳务费、其他交通费和其他商品和服务支出等。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9" w:leftChars="0" w:firstLine="641" w:firstLineChars="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对个人和家庭补助支出173.31万元，主要包括离休费、退休费、其他对个人和家庭的补助。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9" w:leftChars="0" w:firstLine="641" w:firstLineChars="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资本性支出588.07万元：主要包括专用设备购置。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9" w:leftChars="0" w:firstLine="641" w:firstLineChars="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对企业补助（基本建设）199.92万元。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政府性基金预算支出情况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20" w:leftChars="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无政府性基金预算支出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2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无国有资本经营预算支出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kern w:val="0"/>
          <w:sz w:val="32"/>
          <w:szCs w:val="24"/>
          <w:lang w:val="en-US" w:eastAsia="zh-CN" w:bidi="ar-SA"/>
        </w:rPr>
        <w:t>无社会保险基金预算支出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六、部门整体支出绩效情况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一般公共预算支出绩效目标完成情况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产出指标：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数量指标：重点学科数量在3个以上。实际为3个，市级重点学科三个：产科、新生儿科、生殖医学中心。四级手术量要求逐年提升，2023年手术量为96台，2024年手术量为91台。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质量指标：医疗服务质量提升，医疗服务收入占医疗收入比例大于20%，实际为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37.09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时效指标：202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年内完成非税指标。实际在年度内完成上缴非税任务。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满意度指标：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服务对象满意度大于95%。在满意度调查中，门诊满意度9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7.5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%，住院满意度9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7.5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效益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指标：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经济成本指标：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工资福利支出占总支出比值大于40%，实际为40.13%。药占比（药品收入占医疗收入的占比），小于20%，实际14.95%。医院稳定有序的经营。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生态环境成本指标：医疗排放物达到环保要求。医疗废物废水集中处理后排放，取样标准达到环境要求。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（二）预算投入情况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财政供养人员编制数296人，实际在职人数200人，控制率67.57%。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单位年初预算为1889.91万元，全年预算数3488.25万元，全年执行数2996.96万元，执行率85.91%。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三公经费预算数0万元，决算数16.07万元；办公经费0万元，决算数4.14万元，水费、电费、差旅费预算数0万元，决算数7.09万元，会议培训费0万元，决算数34.85万元。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宋体" w:hAnsi="Times New Roman" w:eastAsia="仿宋" w:cs="宋体"/>
          <w:sz w:val="32"/>
          <w:szCs w:val="32"/>
          <w:lang w:eastAsia="zh-CN"/>
        </w:rPr>
      </w:pPr>
      <w:r>
        <w:rPr>
          <w:rFonts w:hint="eastAsia" w:ascii="宋体" w:hAnsi="Times New Roman" w:eastAsia="仿宋" w:cs="宋体"/>
          <w:sz w:val="32"/>
          <w:szCs w:val="32"/>
          <w:lang w:eastAsia="zh-CN"/>
        </w:rPr>
        <w:t>（四）工作开展情况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1、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党建工作引领全局。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全院干部职工认真学习贯彻党的二十大精神，扎实开展主题教育，全面践行新时代党的建设总要求，以党建工作新成效汇聚推动医院改革发展正能量。一是深入学习习近平新时代中国特色社会主义思想。二是深入开展“大走访、大调研”活动。三是开展丰富的党建活动。四是不断深化党建带团建，青年工作丰富多彩。五是着重强化清廉医院建设，打造过硬队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2、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保健工作全面夯实。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0" w:afterLines="0" w:line="640" w:lineRule="exact"/>
        <w:ind w:left="15" w:right="11" w:firstLine="604"/>
        <w:jc w:val="left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一是三级网络更加坚实。建立了以市妇幼保健院为中心，县级母婴保健技术服务机构为枢纽，乡镇卫生院为基础的三级母婴安全保障网络。202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年我市孕产妇死亡率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0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，新生儿死亡率为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1.17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‰，婴儿死亡率为2.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04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‰，5岁以下儿童死亡率为3.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46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‰，全面达到省卫健委考核指标。二是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积极落实重点民生实事项目。 全力推进省级民生实事，2024年对20017例新生儿开展免费疾病筛查与诊断，主要包括4个项目，新生儿听力障碍、新生儿致盲性眼病、新生儿先天性心脏病、新生儿遗传代谢病。三是强化出生缺陷综合防治工作。深入贯彻落实《岳阳市出生缺陷防治办法》，践行从婚前保健、孕前保健、孕期保健、产后保健、儿童保健、更年期保健等全生命周期保健理念，紧紧围绕出生缺陷三级预防开展工作。四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是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加速妇幼重大疾病消除：加强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“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两癌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”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项目质量控制。抽调专业人员协助云溪区、屈原区开展筛查；加大宣传力度，联合妇联利用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“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健康教育进校园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”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活动，将15岁前宫颈癌疫苗接种知识纳入健康宣教内容；加大人力与经费投入，免费为4185名有筛查意愿的妇女提供免费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“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两癌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”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筛查。推进消除艾梅乙母婴传播项目。定期开展项目专项质量评估，召开梅毒感染阳性孕产妇及所生儿童评审观摩会。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3、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医疗质量再上台阶。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0" w:afterLines="0" w:line="640" w:lineRule="exact"/>
        <w:ind w:left="15" w:right="11" w:firstLine="604"/>
        <w:jc w:val="left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</w:pP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一是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以提升业务为抓手，促进医院高质量发展。实现业务平稳增长，二是推出多项惠民利民举措。组织多次大型义诊、健康讲座、孕妇课堂，对接经开区、南湖新区进行业务指导和多层次合作洽谈。三是进一步扩展诊疗服务范围。四是推进妇幼特色中医药建设。五是多方携手助力医院发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4、民生实事全力推进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0" w:afterLines="0" w:line="640" w:lineRule="exact"/>
        <w:ind w:left="15" w:right="11" w:firstLine="604"/>
        <w:jc w:val="left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一是推进检查检验结果共享互认，让看病就医更便利。二是推进检查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“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一站式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”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预约，让就诊服务更顺畅。三是推进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“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一站式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”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结算，让患者出院更高效。四是推进巡回医疗，让家门口看病更便捷。五是推进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“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一站式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”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服务中心建设，让就医体验更舒适。六是推进中药代煎和邮寄服务，让使用中药更方便。七是推进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“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新生儿出生一件事一次办</w:t>
      </w:r>
      <w:r>
        <w:rPr>
          <w:rFonts w:hint="default" w:eastAsia="仿宋" w:cs="仿宋"/>
          <w:color w:val="000000"/>
          <w:sz w:val="32"/>
          <w:szCs w:val="32"/>
          <w:highlight w:val="none"/>
          <w:lang w:val="zh-CN" w:eastAsia="zh-CN"/>
        </w:rPr>
        <w:t>”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，让便民服务更暖心。八是推进电子健康码和医保码同屏展码和协同应用，让信息融合更全面。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5、</w:t>
      </w: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安全工作成效显著。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0" w:afterLines="0" w:line="640" w:lineRule="exact"/>
        <w:ind w:left="15" w:right="11" w:firstLine="604"/>
        <w:jc w:val="left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zh-CN" w:eastAsia="zh-CN"/>
        </w:rPr>
        <w:t>一是建立了平安医院建设责任制。二是加强人防、物防、机防建设。三是建立健全医疗纠纷排查机制。四是加强对干部职工的法制教育。五是对安全隐患积极整改。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0" w:afterLines="0" w:line="640" w:lineRule="atLeast"/>
        <w:ind w:left="17" w:right="11" w:firstLine="607"/>
        <w:jc w:val="left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在预算执行的过程存在待解决的问题。财政项目资金的执行涉及实施部门和财务部门，实施部门负责按照实施方案执行，财务部门负责按照预算付款，两个部门分别负责具体实施和资金支付环节。如果科室缺少沟通，付款的财务科对项目的立项过程、实施方案缺乏了解，最终导致项目类资金执行率低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因为实施和付款是两个科室，且预算指标不能调剂，因此制定如下措施：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实施部门与财务部门信息互通。包括立项资料、实施方案、指标下达文件等有关项目的信息。两个部门必须清楚了解项目的方方面面。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财务部门协助实施部门制定预算。财务部门擅长资金预算，对实施部门提出的付款计划，要从合规性、合理性、完整性方面给予指导，保障资金顺利支付，提高执行率。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梳理报账流程。报账环节也是提高执行率的关键。请款单及附件要完整，注明项目名称，严格执行“专款专用”原则，不漏付、不滥用。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部门整体支出绩效自评结果拟应用和公开情况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部门整体支出绩效自评结果与当年度决算一同公开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其他需要说明的情况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仿宋"/>
          <w:color w:val="000000"/>
          <w:sz w:val="32"/>
          <w:szCs w:val="32"/>
          <w:highlight w:val="none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报告需要以下附件：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部门整体支出绩效评价基础数据表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项目支出绩效自评表（一个一级项目支出一张表）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政府性基金预算支出情况表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社会保险基金预算支出情况表</w:t>
      </w:r>
    </w:p>
    <w:p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F746E"/>
    <w:multiLevelType w:val="singleLevel"/>
    <w:tmpl w:val="B18F746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894CD1D"/>
    <w:multiLevelType w:val="singleLevel"/>
    <w:tmpl w:val="D894CD1D"/>
    <w:lvl w:ilvl="0" w:tentative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E55653DD"/>
    <w:multiLevelType w:val="singleLevel"/>
    <w:tmpl w:val="E55653D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ED92D239"/>
    <w:multiLevelType w:val="singleLevel"/>
    <w:tmpl w:val="ED92D23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10771683"/>
    <w:multiLevelType w:val="singleLevel"/>
    <w:tmpl w:val="10771683"/>
    <w:lvl w:ilvl="0" w:tentative="0">
      <w:start w:val="1"/>
      <w:numFmt w:val="decimal"/>
      <w:suff w:val="nothing"/>
      <w:lvlText w:val="（%1）"/>
      <w:lvlJc w:val="left"/>
      <w:pPr>
        <w:ind w:left="199"/>
      </w:pPr>
    </w:lvl>
  </w:abstractNum>
  <w:abstractNum w:abstractNumId="5">
    <w:nsid w:val="2A71F634"/>
    <w:multiLevelType w:val="singleLevel"/>
    <w:tmpl w:val="2A71F6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8E78246"/>
    <w:multiLevelType w:val="singleLevel"/>
    <w:tmpl w:val="38E78246"/>
    <w:lvl w:ilvl="0" w:tentative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4B7CE0C6"/>
    <w:multiLevelType w:val="singleLevel"/>
    <w:tmpl w:val="4B7CE0C6"/>
    <w:lvl w:ilvl="0" w:tentative="0">
      <w:start w:val="3"/>
      <w:numFmt w:val="decimal"/>
      <w:suff w:val="nothing"/>
      <w:lvlText w:val="%1、"/>
      <w:lvlJc w:val="left"/>
    </w:lvl>
  </w:abstractNum>
  <w:abstractNum w:abstractNumId="8">
    <w:nsid w:val="78931998"/>
    <w:multiLevelType w:val="singleLevel"/>
    <w:tmpl w:val="7893199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AD6BF4"/>
    <w:rsid w:val="023A16C8"/>
    <w:rsid w:val="02975EC9"/>
    <w:rsid w:val="083936F9"/>
    <w:rsid w:val="09E23546"/>
    <w:rsid w:val="0F542E75"/>
    <w:rsid w:val="11C80E96"/>
    <w:rsid w:val="125744F6"/>
    <w:rsid w:val="12BE4BCE"/>
    <w:rsid w:val="175504D4"/>
    <w:rsid w:val="1DB64CC8"/>
    <w:rsid w:val="1E620680"/>
    <w:rsid w:val="1E966D88"/>
    <w:rsid w:val="26B510E4"/>
    <w:rsid w:val="29784198"/>
    <w:rsid w:val="2E227591"/>
    <w:rsid w:val="39006B4A"/>
    <w:rsid w:val="3C923D3B"/>
    <w:rsid w:val="3D105466"/>
    <w:rsid w:val="3DCD0ADA"/>
    <w:rsid w:val="3DEC1895"/>
    <w:rsid w:val="45537742"/>
    <w:rsid w:val="46BE25FD"/>
    <w:rsid w:val="49530E7A"/>
    <w:rsid w:val="57E06C27"/>
    <w:rsid w:val="5C6710AC"/>
    <w:rsid w:val="5E9E22A6"/>
    <w:rsid w:val="5EEB49C6"/>
    <w:rsid w:val="67E85141"/>
    <w:rsid w:val="68B54877"/>
    <w:rsid w:val="6B7B7C32"/>
    <w:rsid w:val="6BFB68C3"/>
    <w:rsid w:val="70BB5DB3"/>
    <w:rsid w:val="72472A4D"/>
    <w:rsid w:val="74214EF9"/>
    <w:rsid w:val="792A34F5"/>
    <w:rsid w:val="7AC46414"/>
    <w:rsid w:val="7D3B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5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3327</Words>
  <Characters>3530</Characters>
  <Lines>0</Lines>
  <Paragraphs>0</Paragraphs>
  <TotalTime>4</TotalTime>
  <ScaleCrop>false</ScaleCrop>
  <LinksUpToDate>false</LinksUpToDate>
  <CharactersWithSpaces>3538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2024-05-27T08:33:00Z</dcterms:created>
  <dc:creator>Administrator</dc:creator>
  <cp:lastModifiedBy>wufazhuce</cp:lastModifiedBy>
  <dcterms:modified xsi:type="dcterms:W3CDTF">2025-06-26T10:34:49Z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76260925A9B14FA38EA7569EA902D26D</vt:lpwstr>
  </property>
</Properties>
</file>