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免疫规划</w:t>
      </w:r>
      <w:bookmarkStart w:id="0" w:name="_GoBack"/>
      <w:bookmarkEnd w:id="0"/>
      <w:r>
        <w:rPr>
          <w:rFonts w:hint="eastAsia" w:ascii="方正小标宋简体" w:hAnsi="方正小标宋简体" w:eastAsia="方正小标宋简体" w:cs="方正小标宋简体"/>
          <w:sz w:val="44"/>
          <w:szCs w:val="44"/>
          <w:highlight w:val="none"/>
        </w:rPr>
        <w:t>专项经费绩效自评报告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一、</w:t>
      </w:r>
      <w:r>
        <w:rPr>
          <w:rFonts w:hint="default" w:ascii="Times New Roman" w:hAnsi="Times New Roman" w:eastAsia="黑体" w:cs="Times New Roman"/>
          <w:sz w:val="32"/>
          <w:szCs w:val="32"/>
          <w:highlight w:val="none"/>
        </w:rPr>
        <w:t>单位基本情况</w:t>
      </w:r>
    </w:p>
    <w:p>
      <w:pPr>
        <w:widowControl/>
        <w:ind w:firstLine="420" w:firstLineChars="200"/>
        <w:jc w:val="left"/>
        <w:rPr>
          <w:rFonts w:hint="eastAsia" w:ascii="Times New Roman" w:hAnsi="Times New Roman" w:eastAsia="仿宋_GB2312" w:cs="Times New Roman"/>
          <w:color w:val="000000"/>
          <w:sz w:val="32"/>
          <w:szCs w:val="32"/>
          <w:highlight w:val="none"/>
          <w:lang w:val="en-US" w:eastAsia="zh-CN"/>
        </w:rPr>
      </w:pPr>
      <w:r>
        <w:rPr>
          <w:rFonts w:hint="eastAsia"/>
          <w:lang w:val="en-US" w:eastAsia="zh-CN"/>
        </w:rPr>
        <w:t xml:space="preserve">  </w:t>
      </w: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w:t>
      </w:r>
      <w:r>
        <w:rPr>
          <w:rFonts w:hint="eastAsia" w:ascii="仿宋" w:hAnsi="仿宋" w:eastAsia="仿宋" w:cs="仿宋"/>
          <w:sz w:val="32"/>
          <w:szCs w:val="32"/>
          <w:lang w:val="en-US" w:eastAsia="zh-CN"/>
        </w:rPr>
        <w:t>9</w:t>
      </w:r>
      <w:r>
        <w:rPr>
          <w:rFonts w:hint="eastAsia" w:ascii="仿宋" w:hAnsi="仿宋" w:eastAsia="仿宋" w:cs="仿宋"/>
          <w:sz w:val="32"/>
          <w:szCs w:val="32"/>
        </w:rPr>
        <w:t>名,现有在职在编人员</w:t>
      </w:r>
      <w:r>
        <w:rPr>
          <w:rFonts w:hint="eastAsia" w:ascii="仿宋" w:hAnsi="仿宋" w:eastAsia="仿宋" w:cs="仿宋"/>
          <w:sz w:val="32"/>
          <w:szCs w:val="32"/>
          <w:lang w:val="en-US" w:eastAsia="zh-CN"/>
        </w:rPr>
        <w:t>97</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keepNext w:val="0"/>
        <w:keepLines w:val="0"/>
        <w:pageBreakBefore w:val="0"/>
        <w:kinsoku/>
        <w:wordWrap/>
        <w:overflowPunct/>
        <w:topLinePunct w:val="0"/>
        <w:autoSpaceDE/>
        <w:autoSpaceDN/>
        <w:bidi w:val="0"/>
        <w:adjustRightInd w:val="0"/>
        <w:snapToGrid w:val="0"/>
        <w:spacing w:line="580" w:lineRule="exact"/>
        <w:ind w:left="0" w:firstLine="640"/>
        <w:jc w:val="both"/>
        <w:textAlignment w:val="auto"/>
        <w:rPr>
          <w:rFonts w:hint="default" w:ascii="仿宋" w:hAnsi="仿宋" w:eastAsia="仿宋" w:cs="仿宋"/>
          <w:spacing w:val="0"/>
          <w:sz w:val="32"/>
          <w:szCs w:val="32"/>
          <w:highlight w:val="none"/>
          <w:lang w:val="en-US"/>
        </w:rPr>
      </w:pPr>
      <w:r>
        <w:rPr>
          <w:rFonts w:hint="eastAsia" w:ascii="仿宋" w:hAnsi="仿宋" w:eastAsia="仿宋" w:cs="仿宋"/>
          <w:spacing w:val="0"/>
          <w:sz w:val="32"/>
          <w:szCs w:val="32"/>
          <w:highlight w:val="none"/>
        </w:rPr>
        <w:t>202</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rPr>
        <w:t>年</w:t>
      </w:r>
      <w:r>
        <w:rPr>
          <w:rFonts w:hint="eastAsia" w:ascii="仿宋" w:hAnsi="仿宋" w:eastAsia="仿宋" w:cs="仿宋"/>
          <w:spacing w:val="0"/>
          <w:sz w:val="32"/>
          <w:szCs w:val="32"/>
          <w:highlight w:val="none"/>
          <w:lang w:val="en-US" w:eastAsia="zh-CN"/>
        </w:rPr>
        <w:t>以来</w:t>
      </w:r>
      <w:r>
        <w:rPr>
          <w:rFonts w:hint="eastAsia" w:ascii="仿宋" w:hAnsi="仿宋" w:eastAsia="仿宋" w:cs="仿宋"/>
          <w:spacing w:val="0"/>
          <w:sz w:val="32"/>
          <w:szCs w:val="32"/>
          <w:highlight w:val="none"/>
        </w:rPr>
        <w:t>，岳阳市疾控中心以习近平新时代中国特色社会主义思想为</w:t>
      </w:r>
      <w:r>
        <w:rPr>
          <w:rFonts w:hint="eastAsia" w:ascii="仿宋" w:hAnsi="仿宋" w:eastAsia="仿宋" w:cs="仿宋"/>
          <w:spacing w:val="0"/>
          <w:sz w:val="32"/>
          <w:szCs w:val="32"/>
          <w:highlight w:val="none"/>
          <w:lang w:val="en-US" w:eastAsia="zh-CN"/>
        </w:rPr>
        <w:t>指引</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全面深入</w:t>
      </w:r>
      <w:r>
        <w:rPr>
          <w:rFonts w:hint="eastAsia" w:ascii="仿宋" w:hAnsi="仿宋" w:eastAsia="仿宋" w:cs="仿宋"/>
          <w:spacing w:val="0"/>
          <w:sz w:val="32"/>
          <w:szCs w:val="32"/>
          <w:highlight w:val="none"/>
        </w:rPr>
        <w:t>贯彻党的</w:t>
      </w:r>
      <w:r>
        <w:rPr>
          <w:rFonts w:hint="eastAsia" w:ascii="仿宋" w:hAnsi="仿宋" w:eastAsia="仿宋" w:cs="仿宋"/>
          <w:spacing w:val="0"/>
          <w:sz w:val="32"/>
          <w:szCs w:val="32"/>
          <w:highlight w:val="none"/>
          <w:lang w:val="en-US" w:eastAsia="zh-CN"/>
        </w:rPr>
        <w:t>二十大</w:t>
      </w:r>
      <w:r>
        <w:rPr>
          <w:rFonts w:hint="eastAsia" w:ascii="仿宋" w:hAnsi="仿宋" w:eastAsia="仿宋" w:cs="仿宋"/>
          <w:spacing w:val="0"/>
          <w:sz w:val="32"/>
          <w:szCs w:val="32"/>
          <w:highlight w:val="none"/>
        </w:rPr>
        <w:t>精神，</w:t>
      </w:r>
      <w:r>
        <w:rPr>
          <w:rFonts w:hint="eastAsia" w:ascii="仿宋" w:hAnsi="仿宋" w:eastAsia="仿宋" w:cs="仿宋"/>
          <w:spacing w:val="0"/>
          <w:sz w:val="32"/>
          <w:szCs w:val="32"/>
          <w:highlight w:val="none"/>
          <w:lang w:val="en-US" w:eastAsia="zh-CN"/>
        </w:rPr>
        <w:t>在市委、市政府</w:t>
      </w:r>
      <w:r>
        <w:rPr>
          <w:rFonts w:hint="eastAsia" w:ascii="仿宋" w:hAnsi="仿宋" w:eastAsia="仿宋" w:cs="仿宋"/>
          <w:spacing w:val="0"/>
          <w:sz w:val="32"/>
          <w:szCs w:val="32"/>
          <w:highlight w:val="none"/>
        </w:rPr>
        <w:t>、市卫健委的正确领导下，</w:t>
      </w:r>
      <w:r>
        <w:rPr>
          <w:rFonts w:hint="eastAsia" w:ascii="仿宋" w:hAnsi="仿宋" w:eastAsia="仿宋" w:cs="仿宋"/>
          <w:spacing w:val="0"/>
          <w:sz w:val="32"/>
          <w:szCs w:val="32"/>
          <w:highlight w:val="none"/>
          <w:lang w:val="en-US" w:eastAsia="zh-CN"/>
        </w:rPr>
        <w:t>围绕“</w:t>
      </w:r>
      <w:r>
        <w:rPr>
          <w:rFonts w:hint="eastAsia" w:ascii="仿宋" w:hAnsi="仿宋" w:eastAsia="仿宋" w:cs="仿宋"/>
          <w:spacing w:val="0"/>
          <w:sz w:val="32"/>
          <w:szCs w:val="32"/>
          <w:highlight w:val="none"/>
        </w:rPr>
        <w:t>坚持预防为主</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的原则</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牢固树立“大卫生、大健康”理念，</w:t>
      </w:r>
      <w:r>
        <w:rPr>
          <w:rFonts w:hint="eastAsia" w:ascii="仿宋" w:hAnsi="仿宋" w:eastAsia="仿宋" w:cs="仿宋"/>
          <w:spacing w:val="0"/>
          <w:sz w:val="32"/>
          <w:szCs w:val="32"/>
          <w:highlight w:val="none"/>
          <w:lang w:val="en-US" w:eastAsia="zh-CN"/>
        </w:rPr>
        <w:t>落实</w:t>
      </w:r>
      <w:r>
        <w:rPr>
          <w:rFonts w:hint="eastAsia" w:ascii="仿宋" w:hAnsi="仿宋" w:eastAsia="仿宋" w:cs="仿宋"/>
          <w:spacing w:val="0"/>
          <w:sz w:val="32"/>
          <w:szCs w:val="32"/>
          <w:highlight w:val="none"/>
        </w:rPr>
        <w:t>省市</w:t>
      </w:r>
      <w:r>
        <w:rPr>
          <w:rFonts w:ascii="仿宋" w:hAnsi="仿宋" w:eastAsia="仿宋" w:cs="仿宋"/>
          <w:spacing w:val="0"/>
          <w:sz w:val="32"/>
          <w:szCs w:val="32"/>
          <w:highlight w:val="none"/>
        </w:rPr>
        <w:t>疾病预防控制工作</w:t>
      </w:r>
      <w:r>
        <w:rPr>
          <w:rFonts w:hint="eastAsia" w:ascii="仿宋" w:hAnsi="仿宋" w:eastAsia="仿宋" w:cs="仿宋"/>
          <w:spacing w:val="0"/>
          <w:sz w:val="32"/>
          <w:szCs w:val="32"/>
          <w:highlight w:val="none"/>
          <w:lang w:val="en-US" w:eastAsia="zh-CN"/>
        </w:rPr>
        <w:t>部署</w:t>
      </w:r>
      <w:r>
        <w:rPr>
          <w:rFonts w:ascii="仿宋" w:hAnsi="仿宋" w:eastAsia="仿宋" w:cs="仿宋"/>
          <w:spacing w:val="0"/>
          <w:sz w:val="32"/>
          <w:szCs w:val="32"/>
          <w:highlight w:val="none"/>
        </w:rPr>
        <w:t>要求，</w:t>
      </w:r>
      <w:r>
        <w:rPr>
          <w:rFonts w:hint="default" w:ascii="Times New Roman" w:hAnsi="Times New Roman" w:eastAsia="仿宋" w:cs="Times New Roman"/>
          <w:spacing w:val="0"/>
          <w:sz w:val="32"/>
          <w:szCs w:val="32"/>
          <w:highlight w:val="none"/>
        </w:rPr>
        <w:t>以</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一个推动</w:t>
      </w:r>
      <w:r>
        <w:rPr>
          <w:rFonts w:hint="eastAsia" w:ascii="仿宋" w:hAnsi="仿宋" w:eastAsia="仿宋"/>
          <w:spacing w:val="0"/>
          <w:sz w:val="32"/>
          <w:szCs w:val="32"/>
          <w:highlight w:val="none"/>
        </w:rPr>
        <w:t>、</w:t>
      </w:r>
      <w:r>
        <w:rPr>
          <w:rFonts w:hint="eastAsia" w:ascii="Times New Roman" w:hAnsi="Times New Roman" w:eastAsia="仿宋" w:cs="Times New Roman"/>
          <w:spacing w:val="0"/>
          <w:sz w:val="32"/>
          <w:szCs w:val="32"/>
          <w:highlight w:val="none"/>
          <w:lang w:val="en-US" w:eastAsia="zh-CN"/>
        </w:rPr>
        <w:t>两项行动</w:t>
      </w:r>
      <w:r>
        <w:rPr>
          <w:rFonts w:hint="eastAsia" w:ascii="仿宋" w:hAnsi="仿宋" w:eastAsia="仿宋"/>
          <w:spacing w:val="0"/>
          <w:sz w:val="32"/>
          <w:szCs w:val="32"/>
          <w:highlight w:val="none"/>
        </w:rPr>
        <w:t>、</w:t>
      </w:r>
      <w:r>
        <w:rPr>
          <w:rFonts w:hint="eastAsia" w:ascii="仿宋" w:hAnsi="仿宋" w:eastAsia="仿宋"/>
          <w:spacing w:val="0"/>
          <w:sz w:val="32"/>
          <w:szCs w:val="32"/>
          <w:highlight w:val="none"/>
          <w:lang w:val="en-US" w:eastAsia="zh-CN"/>
        </w:rPr>
        <w:t>四个强化</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为重点，切实推动</w:t>
      </w:r>
      <w:r>
        <w:rPr>
          <w:rFonts w:hint="eastAsia" w:ascii="仿宋" w:hAnsi="仿宋" w:eastAsia="仿宋" w:cs="仿宋"/>
          <w:spacing w:val="0"/>
          <w:sz w:val="32"/>
          <w:szCs w:val="32"/>
          <w:highlight w:val="none"/>
          <w:lang w:val="en-US" w:eastAsia="zh-CN"/>
        </w:rPr>
        <w:t>党建业务融合促发展，</w:t>
      </w:r>
      <w:r>
        <w:rPr>
          <w:rFonts w:hint="eastAsia" w:ascii="Times New Roman" w:hAnsi="Times New Roman" w:eastAsia="仿宋" w:cs="Times New Roman"/>
          <w:spacing w:val="0"/>
          <w:sz w:val="32"/>
          <w:szCs w:val="32"/>
          <w:highlight w:val="none"/>
          <w:lang w:val="en-US" w:eastAsia="zh-CN"/>
        </w:rPr>
        <w:t>全力做好各项疾病预防控制工作。</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黑体" w:cs="Times New Roman"/>
          <w:b w:val="0"/>
          <w:bCs/>
          <w:color w:val="000000" w:themeColor="text1"/>
          <w:spacing w:val="0"/>
          <w:kern w:val="2"/>
          <w:sz w:val="32"/>
          <w:szCs w:val="32"/>
          <w:lang w:val="en-US" w:eastAsia="zh-CN" w:bidi="ar-SA"/>
          <w14:textFill>
            <w14:solidFill>
              <w14:schemeClr w14:val="tx1"/>
            </w14:solidFill>
          </w14:textFill>
        </w:rPr>
        <w:t>（一）</w:t>
      </w:r>
      <w:r>
        <w:rPr>
          <w:rFonts w:hint="eastAsia" w:ascii="黑体" w:hAnsi="黑体" w:eastAsia="黑体"/>
          <w:spacing w:val="0"/>
          <w:sz w:val="32"/>
          <w:szCs w:val="32"/>
          <w:highlight w:val="none"/>
        </w:rPr>
        <w:t>成绩亮点</w:t>
      </w:r>
    </w:p>
    <w:p>
      <w:pPr>
        <w:keepNext w:val="0"/>
        <w:keepLines w:val="0"/>
        <w:pageBreakBefore w:val="0"/>
        <w:kinsoku/>
        <w:wordWrap/>
        <w:overflowPunct/>
        <w:topLinePunct w:val="0"/>
        <w:autoSpaceDE/>
        <w:autoSpaceDN/>
        <w:bidi w:val="0"/>
        <w:spacing w:line="580" w:lineRule="exact"/>
        <w:ind w:left="0" w:firstLine="643" w:firstLineChars="200"/>
        <w:textAlignment w:val="auto"/>
        <w:rPr>
          <w:rFonts w:hint="eastAsia" w:ascii="楷体" w:hAnsi="楷体" w:eastAsia="楷体" w:cs="楷体"/>
          <w:b/>
          <w:bCs/>
          <w:spacing w:val="0"/>
          <w:sz w:val="32"/>
          <w:szCs w:val="32"/>
          <w:highlight w:val="none"/>
        </w:rPr>
      </w:pPr>
      <w:r>
        <w:rPr>
          <w:rFonts w:hint="eastAsia" w:ascii="楷体_GB2312" w:hAnsi="楷体_GB2312" w:eastAsia="楷体_GB2312" w:cs="楷体_GB2312"/>
          <w:b/>
          <w:color w:val="auto"/>
          <w:spacing w:val="0"/>
          <w:sz w:val="32"/>
          <w:szCs w:val="32"/>
          <w:highlight w:val="none"/>
          <w:lang w:val="en-US" w:eastAsia="zh-CN"/>
        </w:rPr>
        <w:t>1.</w:t>
      </w:r>
      <w:r>
        <w:rPr>
          <w:rFonts w:hint="eastAsia" w:ascii="楷体" w:hAnsi="楷体" w:eastAsia="楷体" w:cs="楷体"/>
          <w:b/>
          <w:bCs/>
          <w:spacing w:val="0"/>
          <w:sz w:val="32"/>
          <w:szCs w:val="32"/>
          <w:highlight w:val="none"/>
        </w:rPr>
        <w:t>免疫规划疫苗接种率维持较高水平</w:t>
      </w:r>
    </w:p>
    <w:p>
      <w:pPr>
        <w:keepNext w:val="0"/>
        <w:keepLines w:val="0"/>
        <w:pageBreakBefore w:val="0"/>
        <w:kinsoku/>
        <w:wordWrap/>
        <w:overflowPunct/>
        <w:topLinePunct w:val="0"/>
        <w:autoSpaceDN/>
        <w:bidi w:val="0"/>
        <w:spacing w:line="580" w:lineRule="exact"/>
        <w:ind w:firstLine="640" w:firstLineChars="200"/>
        <w:textAlignment w:val="auto"/>
        <w:rPr>
          <w:rFonts w:hint="eastAsia"/>
          <w:lang w:eastAsia="zh-CN"/>
        </w:rPr>
      </w:pPr>
      <w:r>
        <w:rPr>
          <w:rFonts w:hint="eastAsia" w:ascii="仿宋" w:hAnsi="仿宋" w:eastAsia="仿宋"/>
          <w:spacing w:val="0"/>
          <w:sz w:val="32"/>
          <w:szCs w:val="32"/>
          <w:highlight w:val="none"/>
        </w:rPr>
        <w:t>截至12月8日，8剂次国家免疫规划疫苗出生队列接种率达标乡镇比例为99.24%。</w:t>
      </w:r>
    </w:p>
    <w:p>
      <w:pPr>
        <w:keepNext w:val="0"/>
        <w:keepLines w:val="0"/>
        <w:pageBreakBefore w:val="0"/>
        <w:numPr>
          <w:ilvl w:val="0"/>
          <w:numId w:val="0"/>
        </w:numPr>
        <w:pBdr>
          <w:bottom w:val="none" w:color="auto" w:sz="0" w:space="0"/>
        </w:pBdr>
        <w:kinsoku/>
        <w:wordWrap/>
        <w:overflowPunct/>
        <w:topLinePunct w:val="0"/>
        <w:autoSpaceDE/>
        <w:autoSpaceDN/>
        <w:bidi w:val="0"/>
        <w:adjustRightInd/>
        <w:snapToGrid w:val="0"/>
        <w:spacing w:before="0" w:after="0" w:line="580" w:lineRule="exact"/>
        <w:ind w:right="0" w:rightChars="0" w:firstLine="643" w:firstLineChars="200"/>
        <w:jc w:val="both"/>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2.</w:t>
      </w:r>
      <w:r>
        <w:rPr>
          <w:rFonts w:hint="eastAsia" w:ascii="楷体" w:hAnsi="楷体" w:eastAsia="楷体" w:cs="楷体"/>
          <w:b/>
          <w:bCs/>
          <w:spacing w:val="0"/>
          <w:sz w:val="32"/>
          <w:szCs w:val="32"/>
          <w:highlight w:val="none"/>
        </w:rPr>
        <w:t>常规疾病监测</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1</w:t>
      </w:r>
      <w:r>
        <w:rPr>
          <w:rFonts w:hint="eastAsia" w:ascii="仿宋" w:hAnsi="仿宋" w:eastAsia="仿宋"/>
          <w:b/>
          <w:bCs/>
          <w:spacing w:val="0"/>
          <w:sz w:val="32"/>
          <w:szCs w:val="32"/>
          <w:highlight w:val="none"/>
          <w:lang w:eastAsia="zh-CN"/>
        </w:rPr>
        <w:t>）</w:t>
      </w:r>
      <w:r>
        <w:rPr>
          <w:rFonts w:ascii="仿宋" w:hAnsi="仿宋" w:eastAsia="仿宋"/>
          <w:b/>
          <w:bCs/>
          <w:spacing w:val="0"/>
          <w:sz w:val="32"/>
          <w:szCs w:val="32"/>
          <w:highlight w:val="none"/>
        </w:rPr>
        <w:t>AFP监测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截至12月8日，按现住址统计，全市共报告AFP病例23例，AFP报告发病率2.61/10万。相关监测指标均达监测方案要求，其中报告后48小时调查率、便标本7天内送达率、75天随访表及时送达率达到100%。</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2</w:t>
      </w:r>
      <w:r>
        <w:rPr>
          <w:rFonts w:hint="eastAsia" w:ascii="仿宋" w:hAnsi="仿宋" w:eastAsia="仿宋"/>
          <w:b/>
          <w:bCs/>
          <w:spacing w:val="0"/>
          <w:sz w:val="32"/>
          <w:szCs w:val="32"/>
          <w:highlight w:val="none"/>
          <w:lang w:eastAsia="zh-CN"/>
        </w:rPr>
        <w:t>）</w:t>
      </w:r>
      <w:r>
        <w:rPr>
          <w:rFonts w:ascii="仿宋" w:hAnsi="仿宋" w:eastAsia="仿宋"/>
          <w:b/>
          <w:bCs/>
          <w:spacing w:val="0"/>
          <w:sz w:val="32"/>
          <w:szCs w:val="32"/>
          <w:highlight w:val="none"/>
        </w:rPr>
        <w:t>麻疹监测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按现住址统计，全市共报告麻疹监测病例116例，麻疹确诊病例3例。排除麻疹风疹病例报告发病率2.2/10万，年化报告发病率2.2/10万。48小时内完整调查率100%，散发病例标本采集率100%，检测病例标本3日内送达率100%，血标本监检测结果4日内报告率100%。</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3</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其他疾病监测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截至12月8日，共报告3例流脑散发病例，疫情控制无扩散。无乙脑病例报告。</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3.</w:t>
      </w:r>
      <w:r>
        <w:rPr>
          <w:rFonts w:hint="eastAsia" w:ascii="楷体" w:hAnsi="楷体" w:eastAsia="楷体" w:cs="楷体"/>
          <w:b/>
          <w:bCs/>
          <w:spacing w:val="0"/>
          <w:sz w:val="32"/>
          <w:szCs w:val="32"/>
          <w:highlight w:val="none"/>
        </w:rPr>
        <w:t>AEFI监测</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rPr>
        <w:t>截至11月30日，全市报告疑似预防接种异常反应294例，其中一般反应289例，异常反应3例（分布于岳阳楼区、汨罗市、华容县），待定2例。48小时报告率为100%、个案48小时及时调查率为100%，AEFI分类率为99.32%，报告县区12个（当前国家系统经开区仍为独立区划），覆盖率100%。市级已组织开展了2次AEFI专家组诊断会，共诊断2例，1例为异常反应二级乙等，1例为排除病例。</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4.</w:t>
      </w:r>
      <w:r>
        <w:rPr>
          <w:rFonts w:hint="eastAsia" w:ascii="楷体" w:hAnsi="楷体" w:eastAsia="楷体" w:cs="楷体"/>
          <w:b/>
          <w:bCs/>
          <w:spacing w:val="0"/>
          <w:sz w:val="32"/>
          <w:szCs w:val="32"/>
          <w:highlight w:val="none"/>
        </w:rPr>
        <w:t>宣传培训</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ascii="仿宋" w:hAnsi="仿宋" w:eastAsia="仿宋"/>
          <w:spacing w:val="0"/>
          <w:sz w:val="32"/>
          <w:szCs w:val="32"/>
          <w:highlight w:val="none"/>
        </w:rPr>
        <w:t>多途径利用媒体宣传。在岳阳日报、岳阳晚报和中心公众号等多平台</w:t>
      </w:r>
      <w:r>
        <w:rPr>
          <w:rFonts w:hint="eastAsia" w:ascii="仿宋" w:hAnsi="仿宋" w:eastAsia="仿宋"/>
          <w:spacing w:val="0"/>
          <w:sz w:val="32"/>
          <w:szCs w:val="32"/>
          <w:highlight w:val="none"/>
        </w:rPr>
        <w:t>结合宣传广泛</w:t>
      </w:r>
      <w:r>
        <w:rPr>
          <w:rFonts w:ascii="仿宋" w:hAnsi="仿宋" w:eastAsia="仿宋"/>
          <w:spacing w:val="0"/>
          <w:sz w:val="32"/>
          <w:szCs w:val="32"/>
          <w:highlight w:val="none"/>
        </w:rPr>
        <w:t>宣传免疫规划预防接种知识。</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开展婴幼儿家长预防接种知识教育。依托中华预防医学会项目，在中心公众号加挂线上预防接种课堂链接。统计2024年至今我市产科项目开展情况：截至11月30日我市总体数据扫码率达88%，结业率达83%，较上半年处于上升</w:t>
      </w:r>
      <w:r>
        <w:rPr>
          <w:rFonts w:hint="eastAsia" w:ascii="仿宋" w:hAnsi="仿宋" w:eastAsia="仿宋"/>
          <w:spacing w:val="0"/>
          <w:sz w:val="32"/>
          <w:szCs w:val="32"/>
          <w:highlight w:val="none"/>
          <w:lang w:eastAsia="zh-CN"/>
        </w:rPr>
        <w:t>趋势</w:t>
      </w:r>
      <w:r>
        <w:rPr>
          <w:rFonts w:hint="eastAsia" w:ascii="仿宋" w:hAnsi="仿宋" w:eastAsia="仿宋"/>
          <w:spacing w:val="0"/>
          <w:sz w:val="32"/>
          <w:szCs w:val="32"/>
          <w:highlight w:val="none"/>
        </w:rPr>
        <w:t>。各县区在爱婴行动项目产科端中扫码率和结业率均达到指标的有平江县、华容县、岳阳楼区和君山区，结业率达标但扫码率不达标的有汨罗市、屈原管理区、云溪区，扫码率和结业率均未达到指标的有岳阳县、湘阴县、临湘市，南湖新区辖区无产科不参与排名。我市产科接种单位扫码率和结业率均达到指标的有15家，其中岳阳楼区5家、平江县和华容县均有4家、汨罗市2家。</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3</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今年针对县级共开展3期业务培训，培训人次400余人次。通过</w:t>
      </w:r>
      <w:r>
        <w:rPr>
          <w:rFonts w:ascii="仿宋" w:hAnsi="仿宋" w:eastAsia="仿宋"/>
          <w:spacing w:val="0"/>
          <w:sz w:val="32"/>
          <w:szCs w:val="32"/>
          <w:highlight w:val="none"/>
        </w:rPr>
        <w:t>邀请相关专家，讲授相关法律法规、工作规范等，针对我市的免疫规划工作要点，</w:t>
      </w:r>
      <w:r>
        <w:rPr>
          <w:rFonts w:hint="eastAsia" w:ascii="仿宋" w:hAnsi="仿宋" w:eastAsia="仿宋"/>
          <w:spacing w:val="0"/>
          <w:sz w:val="32"/>
          <w:szCs w:val="32"/>
          <w:highlight w:val="none"/>
        </w:rPr>
        <w:t>结合督导存在问题，规范预防接种工作环节，</w:t>
      </w:r>
      <w:r>
        <w:rPr>
          <w:rFonts w:ascii="仿宋" w:hAnsi="仿宋" w:eastAsia="仿宋"/>
          <w:spacing w:val="0"/>
          <w:sz w:val="32"/>
          <w:szCs w:val="32"/>
          <w:highlight w:val="none"/>
        </w:rPr>
        <w:t>提升服务能力</w:t>
      </w:r>
      <w:r>
        <w:rPr>
          <w:rFonts w:hint="eastAsia" w:ascii="仿宋" w:hAnsi="仿宋" w:eastAsia="仿宋"/>
          <w:spacing w:val="0"/>
          <w:sz w:val="32"/>
          <w:szCs w:val="32"/>
          <w:highlight w:val="none"/>
        </w:rPr>
        <w:t>。</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5.</w:t>
      </w:r>
      <w:r>
        <w:rPr>
          <w:rFonts w:hint="eastAsia" w:ascii="楷体" w:hAnsi="楷体" w:eastAsia="楷体" w:cs="楷体"/>
          <w:b/>
          <w:bCs/>
          <w:spacing w:val="0"/>
          <w:sz w:val="32"/>
          <w:szCs w:val="32"/>
          <w:highlight w:val="none"/>
        </w:rPr>
        <w:t>以赛促学</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rPr>
        <w:t>为做好预防接种技能竞赛选拔，市疾控中心于8月29日举办了市级选拔赛，推选了市级代表队参加省级选拔赛，最终两名队员分获疾病控制组三等奖和预防接种组三等奖。</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6.</w:t>
      </w:r>
      <w:r>
        <w:rPr>
          <w:rFonts w:hint="eastAsia" w:ascii="楷体" w:hAnsi="楷体" w:eastAsia="楷体" w:cs="楷体"/>
          <w:b/>
          <w:bCs/>
          <w:spacing w:val="0"/>
          <w:sz w:val="32"/>
          <w:szCs w:val="32"/>
          <w:highlight w:val="none"/>
        </w:rPr>
        <w:t>疫苗及注射器供应情况</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免疫规划疫苗入库523741支（870646剂次）、出库612398支（1022393剂次）。</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委托湖南国药完成了本年度四个季度免疫规划疫苗的配送工作。</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3</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委托物流公司转发免疫规划用注射器720100支、安全盒9000个至相关市区。</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7.</w:t>
      </w:r>
      <w:r>
        <w:rPr>
          <w:rFonts w:hint="eastAsia" w:ascii="楷体" w:hAnsi="楷体" w:eastAsia="楷体" w:cs="楷体"/>
          <w:b/>
          <w:bCs/>
          <w:spacing w:val="0"/>
          <w:sz w:val="32"/>
          <w:szCs w:val="32"/>
          <w:highlight w:val="none"/>
        </w:rPr>
        <w:t>信息化建设</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通过岳阳疾控公众号搭建接种信息查询及入托入学查验，同步湖南省免疫规划信息系统，便于公众及时获取相关接种信息。截至12月8日，已绑定68136人，其中0-6岁26262人。</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定期开展湖南省免疫规划信息管理平台巡查，及时督促县区处理相关异常情况。</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8.</w:t>
      </w:r>
      <w:r>
        <w:rPr>
          <w:rFonts w:hint="eastAsia" w:ascii="楷体" w:hAnsi="楷体" w:eastAsia="楷体" w:cs="楷体"/>
          <w:b/>
          <w:bCs/>
          <w:spacing w:val="0"/>
          <w:sz w:val="32"/>
          <w:szCs w:val="32"/>
          <w:highlight w:val="none"/>
        </w:rPr>
        <w:t>业务督导</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1</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专项督导</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5月，按照省市要求，开展了一次IPV专项工作督导，了解各地接种不做部署及接种进度，加快推进此项工作，尽早完成辖区摸底人群的补种工作。</w:t>
      </w:r>
    </w:p>
    <w:p>
      <w:pPr>
        <w:keepNext w:val="0"/>
        <w:keepLines w:val="0"/>
        <w:pageBreakBefore w:val="0"/>
        <w:numPr>
          <w:ilvl w:val="0"/>
          <w:numId w:val="0"/>
        </w:numPr>
        <w:pBdr>
          <w:bottom w:val="none" w:color="auto" w:sz="0" w:space="0"/>
        </w:pBdr>
        <w:kinsoku/>
        <w:wordWrap/>
        <w:overflowPunct/>
        <w:topLinePunct w:val="0"/>
        <w:autoSpaceDE/>
        <w:autoSpaceDN/>
        <w:bidi w:val="0"/>
        <w:adjustRightInd/>
        <w:snapToGrid w:val="0"/>
        <w:spacing w:before="0" w:after="0" w:line="580" w:lineRule="exact"/>
        <w:ind w:right="0" w:rightChars="0" w:firstLine="643" w:firstLineChars="200"/>
        <w:jc w:val="both"/>
        <w:textAlignment w:val="auto"/>
        <w:rPr>
          <w:rFonts w:hint="eastAsia" w:ascii="仿宋" w:hAnsi="仿宋" w:eastAsia="仿宋" w:cs="仿宋"/>
          <w:spacing w:val="0"/>
          <w:sz w:val="32"/>
          <w:szCs w:val="32"/>
          <w:highlight w:val="none"/>
          <w:lang w:val="en-US" w:eastAsia="zh-CN"/>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2</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常规指导</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按相关工作要求，全年已完成2次覆盖所有县区的免疫规划常规工作指导，及时发现存在问题，规范流程</w:t>
      </w:r>
      <w:r>
        <w:rPr>
          <w:rFonts w:hint="eastAsia" w:ascii="仿宋" w:hAnsi="仿宋" w:eastAsia="仿宋" w:cs="仿宋"/>
          <w:color w:val="auto"/>
          <w:spacing w:val="0"/>
          <w:sz w:val="32"/>
          <w:szCs w:val="32"/>
          <w:highlight w:val="none"/>
          <w:lang w:val="en-US" w:eastAsia="zh-CN"/>
        </w:rPr>
        <w:t>。</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7"/>
        <w:numPr>
          <w:ilvl w:val="0"/>
          <w:numId w:val="1"/>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0" w:firstLineChars="200"/>
        <w:rPr>
          <w:rFonts w:hint="eastAsia" w:eastAsia="仿宋" w:cs="仿宋"/>
          <w:sz w:val="32"/>
          <w:szCs w:val="32"/>
          <w:lang w:val="en-US" w:eastAsia="zh-CN"/>
        </w:rPr>
      </w:pPr>
      <w:r>
        <w:rPr>
          <w:rFonts w:hint="eastAsia" w:eastAsia="仿宋" w:cs="仿宋"/>
          <w:sz w:val="32"/>
          <w:szCs w:val="32"/>
        </w:rPr>
        <w:t>202</w:t>
      </w:r>
      <w:r>
        <w:rPr>
          <w:rFonts w:hint="eastAsia" w:eastAsia="仿宋" w:cs="仿宋"/>
          <w:sz w:val="32"/>
          <w:szCs w:val="32"/>
          <w:lang w:val="en-US" w:eastAsia="zh-CN"/>
        </w:rPr>
        <w:t>4</w:t>
      </w:r>
      <w:r>
        <w:rPr>
          <w:rFonts w:hint="eastAsia" w:eastAsia="仿宋" w:cs="仿宋"/>
          <w:sz w:val="32"/>
          <w:szCs w:val="32"/>
        </w:rPr>
        <w:t>年本单位</w:t>
      </w:r>
      <w:r>
        <w:rPr>
          <w:rFonts w:hint="eastAsia" w:eastAsia="仿宋" w:cs="仿宋"/>
          <w:sz w:val="32"/>
          <w:szCs w:val="32"/>
          <w:lang w:val="en-US" w:eastAsia="zh-CN"/>
        </w:rPr>
        <w:t>免疫规划</w:t>
      </w:r>
      <w:r>
        <w:rPr>
          <w:rFonts w:hint="eastAsia" w:eastAsia="仿宋" w:cs="仿宋"/>
          <w:sz w:val="32"/>
          <w:szCs w:val="32"/>
        </w:rPr>
        <w:t>专项收入预算</w:t>
      </w:r>
      <w:r>
        <w:rPr>
          <w:rFonts w:hint="eastAsia" w:eastAsia="仿宋" w:cs="仿宋"/>
          <w:sz w:val="32"/>
          <w:szCs w:val="32"/>
          <w:lang w:val="en-US" w:eastAsia="zh-CN"/>
        </w:rPr>
        <w:t>20</w:t>
      </w:r>
      <w:r>
        <w:rPr>
          <w:rFonts w:hint="eastAsia" w:eastAsia="仿宋" w:cs="仿宋"/>
          <w:sz w:val="32"/>
          <w:szCs w:val="32"/>
        </w:rPr>
        <w:t>万元，截至202</w:t>
      </w:r>
      <w:r>
        <w:rPr>
          <w:rFonts w:hint="eastAsia" w:eastAsia="仿宋" w:cs="仿宋"/>
          <w:sz w:val="32"/>
          <w:szCs w:val="32"/>
          <w:lang w:val="en-US" w:eastAsia="zh-CN"/>
        </w:rPr>
        <w:t>4</w:t>
      </w:r>
      <w:r>
        <w:rPr>
          <w:rFonts w:hint="eastAsia" w:eastAsia="仿宋" w:cs="仿宋"/>
          <w:sz w:val="32"/>
          <w:szCs w:val="32"/>
        </w:rPr>
        <w:t>年底，预算执行数为</w:t>
      </w:r>
      <w:r>
        <w:rPr>
          <w:rFonts w:hint="eastAsia" w:eastAsia="仿宋" w:cs="仿宋"/>
          <w:sz w:val="32"/>
          <w:szCs w:val="32"/>
          <w:lang w:val="en-US" w:eastAsia="zh-CN"/>
        </w:rPr>
        <w:t>13.38</w:t>
      </w:r>
      <w:r>
        <w:rPr>
          <w:rFonts w:hint="eastAsia" w:eastAsia="仿宋" w:cs="仿宋"/>
          <w:sz w:val="32"/>
          <w:szCs w:val="32"/>
        </w:rPr>
        <w:t>万元，</w:t>
      </w:r>
      <w:r>
        <w:rPr>
          <w:rFonts w:hint="eastAsia" w:eastAsia="仿宋" w:cs="仿宋"/>
          <w:sz w:val="32"/>
          <w:szCs w:val="32"/>
          <w:lang w:val="en-US" w:eastAsia="zh-CN"/>
        </w:rPr>
        <w:t>主要用于印刷费、咨询费、邮电费、差旅费、其他交通费、培训费、专用材料费、劳务费、委托业务费等。</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pStyle w:val="2"/>
        <w:ind w:left="0" w:leftChars="0" w:firstLine="0" w:firstLineChars="0"/>
        <w:rPr>
          <w:rFonts w:hint="eastAsia" w:ascii="仿宋" w:hAnsi="仿宋" w:eastAsia="仿宋"/>
          <w:sz w:val="32"/>
          <w:szCs w:val="32"/>
        </w:rPr>
      </w:pPr>
      <w:r>
        <w:rPr>
          <w:rFonts w:hint="eastAsia" w:ascii="仿宋" w:hAnsi="仿宋" w:eastAsia="仿宋"/>
          <w:sz w:val="32"/>
          <w:szCs w:val="32"/>
        </w:rPr>
        <w:t>建议：在专项资金下达的工作任务和资金分配方案中，明确项目支出内容，完善细化标准。</w:t>
      </w:r>
    </w:p>
    <w:p>
      <w:pPr>
        <w:pStyle w:val="2"/>
        <w:ind w:left="0" w:leftChars="0" w:firstLine="0" w:firstLineChars="0"/>
        <w:rPr>
          <w:rFonts w:hint="default"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s>
  <w:rsids>
    <w:rsidRoot w:val="7E91546D"/>
    <w:rsid w:val="02D420F7"/>
    <w:rsid w:val="03323B24"/>
    <w:rsid w:val="07397B77"/>
    <w:rsid w:val="128748BB"/>
    <w:rsid w:val="19D9134D"/>
    <w:rsid w:val="1B59213E"/>
    <w:rsid w:val="1BA06404"/>
    <w:rsid w:val="21260264"/>
    <w:rsid w:val="26505A20"/>
    <w:rsid w:val="293A1937"/>
    <w:rsid w:val="2F8729E0"/>
    <w:rsid w:val="32445EC7"/>
    <w:rsid w:val="34BA287F"/>
    <w:rsid w:val="3DEC4907"/>
    <w:rsid w:val="419B5433"/>
    <w:rsid w:val="41E541FB"/>
    <w:rsid w:val="4CCE0F3D"/>
    <w:rsid w:val="4E395C3D"/>
    <w:rsid w:val="4F61477C"/>
    <w:rsid w:val="543A565B"/>
    <w:rsid w:val="54DD4DE0"/>
    <w:rsid w:val="5E704F8F"/>
    <w:rsid w:val="5EB6652D"/>
    <w:rsid w:val="63C51E4E"/>
    <w:rsid w:val="6840454C"/>
    <w:rsid w:val="68D45F8A"/>
    <w:rsid w:val="6C9E6F7E"/>
    <w:rsid w:val="6DF17581"/>
    <w:rsid w:val="70D07080"/>
    <w:rsid w:val="71096990"/>
    <w:rsid w:val="71D03EED"/>
    <w:rsid w:val="76B70EBF"/>
    <w:rsid w:val="78045895"/>
    <w:rsid w:val="79515ADE"/>
    <w:rsid w:val="7E915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3">
    <w:name w:val="Body Text"/>
    <w:basedOn w:val="1"/>
    <w:semiHidden/>
    <w:qFormat/>
    <w:uiPriority w:val="0"/>
    <w:rPr>
      <w:rFonts w:ascii="仿宋" w:hAnsi="仿宋" w:eastAsia="仿宋" w:cs="仿宋"/>
      <w:sz w:val="37"/>
      <w:szCs w:val="37"/>
      <w:lang w:val="en-US" w:eastAsia="en-US" w:bidi="ar-SA"/>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List Paragraph"/>
    <w:basedOn w:val="1"/>
    <w:qFormat/>
    <w:uiPriority w:val="99"/>
    <w:pPr>
      <w:ind w:firstLine="420" w:firstLineChars="200"/>
    </w:pPr>
    <w:rPr>
      <w:rFonts w:ascii="Calibri" w:hAnsi="Calibri"/>
      <w:szCs w:val="22"/>
    </w:rPr>
  </w:style>
  <w:style w:type="paragraph" w:customStyle="1" w:styleId="8">
    <w:name w:val="正文 A"/>
    <w:qFormat/>
    <w:uiPriority w:val="2"/>
    <w:pPr>
      <w:widowControl w:val="0"/>
      <w:suppressAutoHyphens w:val="0"/>
      <w:bidi w:val="0"/>
      <w:jc w:val="both"/>
    </w:pPr>
    <w:rPr>
      <w:rFonts w:ascii="Times New Roman" w:hAnsi="Times New Roman" w:eastAsia="宋体" w:cs="Arial Unicode MS"/>
      <w:color w:val="000000"/>
      <w:kern w:val="2"/>
      <w:sz w:val="21"/>
      <w:szCs w:val="21"/>
      <w:lang w:val="en-US" w:eastAsia="zh-CN" w:bidi="ar-SA"/>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77</Pages>
  <Words>38797</Words>
  <Characters>42725</Characters>
  <Lines>0</Lines>
  <Paragraphs>0</Paragraphs>
  <TotalTime>7</TotalTime>
  <ScaleCrop>false</ScaleCrop>
  <LinksUpToDate>false</LinksUpToDate>
  <CharactersWithSpaces>43405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2025-06-19T08:06:00Z</dcterms:created>
  <dc:creator>刘洋</dc:creator>
  <cp:lastModifiedBy>刘洋</cp:lastModifiedBy>
  <dcterms:modified xsi:type="dcterms:W3CDTF">2025-06-25T02:58:47Z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C14D370969E04F33A7A2DB4BFFEF161A_13</vt:lpwstr>
  </property>
</Properties>
</file>